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2805B" w14:textId="77777777" w:rsidR="00373655" w:rsidRDefault="00373655" w:rsidP="00373655">
      <w:pPr>
        <w:jc w:val="center"/>
        <w:rPr>
          <w:rFonts w:ascii="方正小标宋简体" w:eastAsia="方正小标宋简体" w:hAnsi="仿宋" w:hint="eastAsia"/>
          <w:sz w:val="36"/>
          <w:szCs w:val="36"/>
        </w:rPr>
      </w:pPr>
    </w:p>
    <w:p w14:paraId="2072D137" w14:textId="77777777" w:rsidR="00373655" w:rsidRPr="00F44001" w:rsidRDefault="00373655" w:rsidP="00373655">
      <w:pPr>
        <w:jc w:val="center"/>
        <w:rPr>
          <w:b/>
          <w:sz w:val="32"/>
          <w:szCs w:val="32"/>
        </w:rPr>
      </w:pPr>
    </w:p>
    <w:p w14:paraId="6FD1009F" w14:textId="77777777" w:rsidR="00373655" w:rsidRPr="00F44001" w:rsidRDefault="00373655" w:rsidP="00373655">
      <w:pPr>
        <w:jc w:val="center"/>
        <w:rPr>
          <w:b/>
          <w:sz w:val="32"/>
          <w:szCs w:val="32"/>
        </w:rPr>
      </w:pPr>
    </w:p>
    <w:p w14:paraId="4011C534" w14:textId="77777777" w:rsidR="00373655" w:rsidRPr="007E187E" w:rsidRDefault="00373655" w:rsidP="00373655">
      <w:pPr>
        <w:jc w:val="center"/>
        <w:rPr>
          <w:rFonts w:ascii="黑体" w:eastAsia="黑体" w:hAnsi="黑体" w:hint="eastAsia"/>
          <w:b/>
          <w:sz w:val="44"/>
          <w:szCs w:val="44"/>
        </w:rPr>
      </w:pPr>
      <w:r w:rsidRPr="007E187E">
        <w:rPr>
          <w:rFonts w:ascii="黑体" w:eastAsia="黑体" w:hAnsi="黑体" w:hint="eastAsia"/>
          <w:b/>
          <w:sz w:val="44"/>
          <w:szCs w:val="44"/>
        </w:rPr>
        <w:t>中国道路运输协会团体</w:t>
      </w:r>
      <w:r w:rsidRPr="007E187E">
        <w:rPr>
          <w:rFonts w:ascii="黑体" w:eastAsia="黑体" w:hAnsi="黑体"/>
          <w:b/>
          <w:sz w:val="44"/>
          <w:szCs w:val="44"/>
        </w:rPr>
        <w:t>标准</w:t>
      </w:r>
    </w:p>
    <w:p w14:paraId="04C73609" w14:textId="22AD97BF" w:rsidR="00373655" w:rsidRPr="007E187E" w:rsidRDefault="00373655" w:rsidP="00373655">
      <w:pPr>
        <w:spacing w:beforeLines="50" w:before="156" w:afterLines="50" w:after="156" w:line="360" w:lineRule="auto"/>
        <w:jc w:val="center"/>
        <w:rPr>
          <w:rFonts w:ascii="黑体" w:eastAsia="黑体" w:hAnsi="黑体" w:hint="eastAsia"/>
          <w:b/>
          <w:sz w:val="44"/>
          <w:szCs w:val="44"/>
        </w:rPr>
      </w:pPr>
      <w:r w:rsidRPr="007E187E">
        <w:rPr>
          <w:rFonts w:ascii="黑体" w:eastAsia="黑体" w:hAnsi="黑体"/>
          <w:b/>
          <w:sz w:val="44"/>
          <w:szCs w:val="44"/>
        </w:rPr>
        <w:t>《</w:t>
      </w:r>
      <w:r w:rsidR="002C1B85" w:rsidRPr="002C1B85">
        <w:rPr>
          <w:rFonts w:ascii="黑体" w:eastAsia="黑体" w:hAnsi="黑体" w:hint="eastAsia"/>
          <w:b/>
          <w:sz w:val="44"/>
          <w:szCs w:val="44"/>
        </w:rPr>
        <w:t>共享载运单元大数据运营平台技术规范</w:t>
      </w:r>
      <w:r w:rsidRPr="007E187E">
        <w:rPr>
          <w:rFonts w:ascii="黑体" w:eastAsia="黑体" w:hAnsi="黑体"/>
          <w:b/>
          <w:sz w:val="44"/>
          <w:szCs w:val="44"/>
        </w:rPr>
        <w:t>》</w:t>
      </w:r>
    </w:p>
    <w:p w14:paraId="69709816" w14:textId="26DFAA34" w:rsidR="00373655" w:rsidRPr="007E187E" w:rsidRDefault="00373655" w:rsidP="00373655">
      <w:pPr>
        <w:spacing w:beforeLines="100" w:before="312" w:line="360" w:lineRule="auto"/>
        <w:jc w:val="center"/>
        <w:rPr>
          <w:rFonts w:ascii="黑体" w:eastAsia="黑体" w:hAnsi="黑体" w:hint="eastAsia"/>
          <w:b/>
          <w:sz w:val="44"/>
          <w:szCs w:val="44"/>
        </w:rPr>
      </w:pPr>
      <w:r w:rsidRPr="007E187E">
        <w:rPr>
          <w:rFonts w:ascii="黑体" w:eastAsia="黑体" w:hAnsi="黑体"/>
          <w:b/>
          <w:sz w:val="44"/>
          <w:szCs w:val="44"/>
        </w:rPr>
        <w:t>（</w:t>
      </w:r>
      <w:r w:rsidR="00B52CEB">
        <w:rPr>
          <w:rFonts w:ascii="黑体" w:eastAsia="黑体" w:hAnsi="黑体" w:hint="eastAsia"/>
          <w:b/>
          <w:sz w:val="44"/>
          <w:szCs w:val="44"/>
        </w:rPr>
        <w:t>征求</w:t>
      </w:r>
      <w:r w:rsidR="00DA37C9">
        <w:rPr>
          <w:rFonts w:ascii="黑体" w:eastAsia="黑体" w:hAnsi="黑体" w:hint="eastAsia"/>
          <w:b/>
          <w:sz w:val="44"/>
          <w:szCs w:val="44"/>
        </w:rPr>
        <w:t>意见</w:t>
      </w:r>
      <w:r w:rsidRPr="007E187E">
        <w:rPr>
          <w:rFonts w:ascii="黑体" w:eastAsia="黑体" w:hAnsi="黑体" w:hint="eastAsia"/>
          <w:b/>
          <w:sz w:val="44"/>
          <w:szCs w:val="44"/>
        </w:rPr>
        <w:t>稿</w:t>
      </w:r>
      <w:r w:rsidRPr="007E187E">
        <w:rPr>
          <w:rFonts w:ascii="黑体" w:eastAsia="黑体" w:hAnsi="黑体"/>
          <w:b/>
          <w:sz w:val="44"/>
          <w:szCs w:val="44"/>
        </w:rPr>
        <w:t>）</w:t>
      </w:r>
    </w:p>
    <w:p w14:paraId="1F877343" w14:textId="77777777" w:rsidR="00373655" w:rsidRPr="007E187E" w:rsidRDefault="00373655" w:rsidP="00373655">
      <w:pPr>
        <w:spacing w:beforeLines="100" w:before="312" w:line="360" w:lineRule="auto"/>
        <w:jc w:val="center"/>
        <w:rPr>
          <w:rFonts w:ascii="黑体" w:eastAsia="黑体" w:hAnsi="黑体" w:hint="eastAsia"/>
          <w:b/>
          <w:sz w:val="44"/>
          <w:szCs w:val="44"/>
        </w:rPr>
      </w:pPr>
      <w:r w:rsidRPr="007E187E">
        <w:rPr>
          <w:rFonts w:ascii="黑体" w:eastAsia="黑体" w:hAnsi="黑体"/>
          <w:b/>
          <w:sz w:val="44"/>
          <w:szCs w:val="44"/>
        </w:rPr>
        <w:t>编制说明</w:t>
      </w:r>
    </w:p>
    <w:p w14:paraId="2A5DA111" w14:textId="77777777" w:rsidR="00373655" w:rsidRPr="006E38D3" w:rsidRDefault="00373655" w:rsidP="00373655">
      <w:pPr>
        <w:spacing w:line="360" w:lineRule="auto"/>
        <w:jc w:val="center"/>
        <w:rPr>
          <w:b/>
          <w:sz w:val="32"/>
          <w:szCs w:val="32"/>
        </w:rPr>
      </w:pPr>
    </w:p>
    <w:p w14:paraId="64F8C6D7" w14:textId="77777777" w:rsidR="00373655" w:rsidRPr="00F42B5F" w:rsidRDefault="00373655" w:rsidP="00373655">
      <w:pPr>
        <w:jc w:val="center"/>
        <w:rPr>
          <w:b/>
          <w:sz w:val="32"/>
          <w:szCs w:val="32"/>
        </w:rPr>
      </w:pPr>
    </w:p>
    <w:p w14:paraId="36F112C1" w14:textId="77777777" w:rsidR="00373655" w:rsidRPr="00F42B5F" w:rsidRDefault="00373655" w:rsidP="00373655">
      <w:pPr>
        <w:jc w:val="center"/>
        <w:rPr>
          <w:b/>
          <w:sz w:val="32"/>
          <w:szCs w:val="32"/>
        </w:rPr>
      </w:pPr>
    </w:p>
    <w:p w14:paraId="59693820" w14:textId="77777777" w:rsidR="00373655" w:rsidRPr="00F42B5F" w:rsidRDefault="00373655" w:rsidP="00373655">
      <w:pPr>
        <w:jc w:val="center"/>
        <w:rPr>
          <w:b/>
          <w:sz w:val="32"/>
          <w:szCs w:val="32"/>
        </w:rPr>
      </w:pPr>
    </w:p>
    <w:p w14:paraId="349AFE70" w14:textId="77777777" w:rsidR="00373655" w:rsidRPr="00F42B5F" w:rsidRDefault="00373655" w:rsidP="00373655">
      <w:pPr>
        <w:jc w:val="center"/>
        <w:rPr>
          <w:b/>
          <w:sz w:val="32"/>
          <w:szCs w:val="32"/>
        </w:rPr>
      </w:pPr>
    </w:p>
    <w:p w14:paraId="391FEE39" w14:textId="77777777" w:rsidR="00373655" w:rsidRPr="00F42B5F" w:rsidRDefault="00373655" w:rsidP="00373655">
      <w:pPr>
        <w:jc w:val="center"/>
        <w:rPr>
          <w:b/>
          <w:sz w:val="32"/>
          <w:szCs w:val="32"/>
        </w:rPr>
      </w:pPr>
    </w:p>
    <w:p w14:paraId="1902CAE4" w14:textId="77777777" w:rsidR="00373655" w:rsidRPr="00F42B5F" w:rsidRDefault="00373655" w:rsidP="00373655">
      <w:pPr>
        <w:jc w:val="center"/>
        <w:rPr>
          <w:b/>
          <w:sz w:val="32"/>
          <w:szCs w:val="32"/>
        </w:rPr>
      </w:pPr>
    </w:p>
    <w:p w14:paraId="1B2E3990" w14:textId="77777777" w:rsidR="00373655" w:rsidRPr="00F42B5F" w:rsidRDefault="00373655" w:rsidP="00373655">
      <w:pPr>
        <w:jc w:val="center"/>
        <w:rPr>
          <w:b/>
          <w:sz w:val="32"/>
          <w:szCs w:val="32"/>
        </w:rPr>
      </w:pPr>
    </w:p>
    <w:p w14:paraId="57630DA5" w14:textId="77777777" w:rsidR="00373655" w:rsidRPr="00F42B5F" w:rsidRDefault="00373655" w:rsidP="00373655">
      <w:pPr>
        <w:jc w:val="center"/>
        <w:rPr>
          <w:b/>
          <w:sz w:val="32"/>
          <w:szCs w:val="32"/>
        </w:rPr>
      </w:pPr>
    </w:p>
    <w:p w14:paraId="0E0F65F6" w14:textId="196776E9" w:rsidR="00373655" w:rsidRPr="007E187E" w:rsidRDefault="00373655" w:rsidP="00373655">
      <w:pPr>
        <w:jc w:val="center"/>
        <w:rPr>
          <w:rFonts w:ascii="黑体" w:eastAsia="黑体" w:hAnsi="黑体" w:hint="eastAsia"/>
          <w:b/>
          <w:sz w:val="32"/>
          <w:szCs w:val="32"/>
        </w:rPr>
      </w:pPr>
      <w:r w:rsidRPr="007E187E">
        <w:rPr>
          <w:rFonts w:ascii="黑体" w:eastAsia="黑体" w:hAnsi="黑体"/>
          <w:b/>
          <w:sz w:val="32"/>
          <w:szCs w:val="32"/>
        </w:rPr>
        <w:t>标准</w:t>
      </w:r>
      <w:r w:rsidRPr="007E187E">
        <w:rPr>
          <w:rFonts w:ascii="黑体" w:eastAsia="黑体" w:hAnsi="黑体" w:hint="eastAsia"/>
          <w:b/>
          <w:sz w:val="32"/>
          <w:szCs w:val="32"/>
        </w:rPr>
        <w:t>起草</w:t>
      </w:r>
      <w:r w:rsidRPr="007E187E">
        <w:rPr>
          <w:rFonts w:ascii="黑体" w:eastAsia="黑体" w:hAnsi="黑体"/>
          <w:b/>
          <w:sz w:val="32"/>
          <w:szCs w:val="32"/>
        </w:rPr>
        <w:t>组</w:t>
      </w:r>
    </w:p>
    <w:p w14:paraId="7FC73ADF" w14:textId="7E9C7715" w:rsidR="008451F9" w:rsidRDefault="00040838" w:rsidP="00373655">
      <w:pPr>
        <w:spacing w:beforeLines="50" w:before="156" w:afterLines="50" w:after="156" w:line="500" w:lineRule="exact"/>
        <w:jc w:val="center"/>
        <w:rPr>
          <w:rFonts w:ascii="黑体" w:eastAsia="黑体" w:hAnsi="黑体" w:hint="eastAsia"/>
          <w:b/>
          <w:sz w:val="32"/>
          <w:szCs w:val="32"/>
        </w:rPr>
      </w:pPr>
      <w:r>
        <w:rPr>
          <w:rFonts w:ascii="黑体" w:eastAsia="黑体" w:hAnsi="黑体"/>
          <w:b/>
          <w:sz w:val="32"/>
          <w:szCs w:val="32"/>
        </w:rPr>
        <w:t>2025</w:t>
      </w:r>
      <w:r w:rsidR="00373655" w:rsidRPr="007E187E">
        <w:rPr>
          <w:rFonts w:ascii="黑体" w:eastAsia="黑体" w:hAnsi="黑体"/>
          <w:b/>
          <w:sz w:val="32"/>
          <w:szCs w:val="32"/>
        </w:rPr>
        <w:t>年</w:t>
      </w:r>
      <w:r>
        <w:rPr>
          <w:rFonts w:ascii="黑体" w:eastAsia="黑体" w:hAnsi="黑体"/>
          <w:b/>
          <w:sz w:val="32"/>
          <w:szCs w:val="32"/>
        </w:rPr>
        <w:t>6</w:t>
      </w:r>
      <w:r w:rsidR="00373655" w:rsidRPr="007E187E">
        <w:rPr>
          <w:rFonts w:ascii="黑体" w:eastAsia="黑体" w:hAnsi="黑体"/>
          <w:b/>
          <w:sz w:val="32"/>
          <w:szCs w:val="32"/>
        </w:rPr>
        <w:t>月</w:t>
      </w:r>
      <w:r w:rsidR="008451F9">
        <w:rPr>
          <w:rFonts w:ascii="黑体" w:eastAsia="黑体" w:hAnsi="黑体"/>
          <w:b/>
          <w:sz w:val="32"/>
          <w:szCs w:val="32"/>
        </w:rPr>
        <w:br w:type="page"/>
      </w:r>
    </w:p>
    <w:p w14:paraId="53914C3A" w14:textId="0826209E" w:rsidR="00040838" w:rsidRDefault="00040838" w:rsidP="00373655">
      <w:pPr>
        <w:spacing w:beforeLines="50" w:before="156" w:afterLines="50" w:after="156" w:line="500" w:lineRule="exact"/>
        <w:jc w:val="center"/>
        <w:rPr>
          <w:rFonts w:ascii="黑体" w:eastAsia="黑体" w:hAnsi="黑体" w:hint="eastAsia"/>
          <w:b/>
          <w:sz w:val="32"/>
          <w:szCs w:val="32"/>
        </w:rPr>
      </w:pPr>
      <w:r>
        <w:rPr>
          <w:rFonts w:ascii="黑体" w:eastAsia="黑体" w:hAnsi="黑体" w:hint="eastAsia"/>
          <w:b/>
          <w:sz w:val="32"/>
          <w:szCs w:val="32"/>
        </w:rPr>
        <w:lastRenderedPageBreak/>
        <w:t>目录</w:t>
      </w:r>
    </w:p>
    <w:p w14:paraId="24E88BD4" w14:textId="7B082E37" w:rsidR="00D33327" w:rsidRPr="00DA37C9" w:rsidRDefault="00BC4050">
      <w:pPr>
        <w:pStyle w:val="TOC1"/>
        <w:tabs>
          <w:tab w:val="right" w:leader="dot" w:pos="8268"/>
        </w:tabs>
        <w:rPr>
          <w:rFonts w:asciiTheme="minorEastAsia" w:eastAsiaTheme="minorEastAsia" w:hAnsiTheme="minorEastAsia" w:cstheme="minorBidi" w:hint="eastAsia"/>
          <w:noProof/>
          <w:sz w:val="28"/>
          <w:szCs w:val="28"/>
        </w:rPr>
      </w:pPr>
      <w:r w:rsidRPr="00DA37C9">
        <w:rPr>
          <w:rFonts w:asciiTheme="minorEastAsia" w:eastAsiaTheme="minorEastAsia" w:hAnsiTheme="minorEastAsia"/>
          <w:sz w:val="28"/>
          <w:szCs w:val="28"/>
        </w:rPr>
        <w:fldChar w:fldCharType="begin"/>
      </w:r>
      <w:r w:rsidRPr="00DA37C9">
        <w:rPr>
          <w:rFonts w:asciiTheme="minorEastAsia" w:eastAsiaTheme="minorEastAsia" w:hAnsiTheme="minorEastAsia"/>
          <w:sz w:val="28"/>
          <w:szCs w:val="28"/>
        </w:rPr>
        <w:instrText xml:space="preserve"> </w:instrText>
      </w:r>
      <w:r w:rsidRPr="00DA37C9">
        <w:rPr>
          <w:rFonts w:asciiTheme="minorEastAsia" w:eastAsiaTheme="minorEastAsia" w:hAnsiTheme="minorEastAsia" w:hint="eastAsia"/>
          <w:sz w:val="28"/>
          <w:szCs w:val="28"/>
        </w:rPr>
        <w:instrText>TOC \o "1-3" \h \z \u</w:instrText>
      </w:r>
      <w:r w:rsidRPr="00DA37C9">
        <w:rPr>
          <w:rFonts w:asciiTheme="minorEastAsia" w:eastAsiaTheme="minorEastAsia" w:hAnsiTheme="minorEastAsia"/>
          <w:sz w:val="28"/>
          <w:szCs w:val="28"/>
        </w:rPr>
        <w:instrText xml:space="preserve"> </w:instrText>
      </w:r>
      <w:r w:rsidRPr="00DA37C9">
        <w:rPr>
          <w:rFonts w:asciiTheme="minorEastAsia" w:eastAsiaTheme="minorEastAsia" w:hAnsiTheme="minorEastAsia"/>
          <w:sz w:val="28"/>
          <w:szCs w:val="28"/>
        </w:rPr>
        <w:fldChar w:fldCharType="separate"/>
      </w:r>
      <w:hyperlink w:anchor="_Toc204606369" w:history="1">
        <w:r w:rsidR="00D33327" w:rsidRPr="00DA37C9">
          <w:rPr>
            <w:rStyle w:val="af4"/>
            <w:rFonts w:asciiTheme="minorEastAsia" w:eastAsiaTheme="minorEastAsia" w:hAnsiTheme="minorEastAsia"/>
            <w:noProof/>
            <w:sz w:val="28"/>
            <w:szCs w:val="28"/>
          </w:rPr>
          <w:t>一、项目简况</w:t>
        </w:r>
        <w:r w:rsidR="00D33327" w:rsidRPr="00DA37C9">
          <w:rPr>
            <w:rFonts w:asciiTheme="minorEastAsia" w:eastAsiaTheme="minorEastAsia" w:hAnsiTheme="minorEastAsia"/>
            <w:noProof/>
            <w:webHidden/>
            <w:sz w:val="28"/>
            <w:szCs w:val="28"/>
          </w:rPr>
          <w:tab/>
        </w:r>
        <w:r w:rsidR="00D33327" w:rsidRPr="00DA37C9">
          <w:rPr>
            <w:rFonts w:asciiTheme="minorEastAsia" w:eastAsiaTheme="minorEastAsia" w:hAnsiTheme="minorEastAsia"/>
            <w:noProof/>
            <w:webHidden/>
            <w:sz w:val="28"/>
            <w:szCs w:val="28"/>
          </w:rPr>
          <w:fldChar w:fldCharType="begin"/>
        </w:r>
        <w:r w:rsidR="00D33327" w:rsidRPr="00DA37C9">
          <w:rPr>
            <w:rFonts w:asciiTheme="minorEastAsia" w:eastAsiaTheme="minorEastAsia" w:hAnsiTheme="minorEastAsia"/>
            <w:noProof/>
            <w:webHidden/>
            <w:sz w:val="28"/>
            <w:szCs w:val="28"/>
          </w:rPr>
          <w:instrText xml:space="preserve"> PAGEREF _Toc204606369 \h </w:instrText>
        </w:r>
        <w:r w:rsidR="00D33327" w:rsidRPr="00DA37C9">
          <w:rPr>
            <w:rFonts w:asciiTheme="minorEastAsia" w:eastAsiaTheme="minorEastAsia" w:hAnsiTheme="minorEastAsia"/>
            <w:noProof/>
            <w:webHidden/>
            <w:sz w:val="28"/>
            <w:szCs w:val="28"/>
          </w:rPr>
        </w:r>
        <w:r w:rsidR="00D33327"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1</w:t>
        </w:r>
        <w:r w:rsidR="00D33327" w:rsidRPr="00DA37C9">
          <w:rPr>
            <w:rFonts w:asciiTheme="minorEastAsia" w:eastAsiaTheme="minorEastAsia" w:hAnsiTheme="minorEastAsia"/>
            <w:noProof/>
            <w:webHidden/>
            <w:sz w:val="28"/>
            <w:szCs w:val="28"/>
          </w:rPr>
          <w:fldChar w:fldCharType="end"/>
        </w:r>
      </w:hyperlink>
    </w:p>
    <w:p w14:paraId="0848FE50" w14:textId="5449EB41" w:rsidR="00D33327" w:rsidRPr="00DA37C9" w:rsidRDefault="00D33327">
      <w:pPr>
        <w:pStyle w:val="TOC2"/>
        <w:tabs>
          <w:tab w:val="right" w:leader="dot" w:pos="8268"/>
        </w:tabs>
        <w:rPr>
          <w:rFonts w:asciiTheme="minorEastAsia" w:eastAsiaTheme="minorEastAsia" w:hAnsiTheme="minorEastAsia" w:cstheme="minorBidi" w:hint="eastAsia"/>
          <w:noProof/>
          <w:sz w:val="28"/>
          <w:szCs w:val="28"/>
        </w:rPr>
      </w:pPr>
      <w:hyperlink w:anchor="_Toc204606370" w:history="1">
        <w:r w:rsidRPr="00DA37C9">
          <w:rPr>
            <w:rStyle w:val="af4"/>
            <w:rFonts w:asciiTheme="minorEastAsia" w:eastAsiaTheme="minorEastAsia" w:hAnsiTheme="minorEastAsia"/>
            <w:noProof/>
            <w:sz w:val="28"/>
            <w:szCs w:val="28"/>
          </w:rPr>
          <w:t>（一）项目来源</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_Toc204606370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1</w:t>
        </w:r>
        <w:r w:rsidRPr="00DA37C9">
          <w:rPr>
            <w:rFonts w:asciiTheme="minorEastAsia" w:eastAsiaTheme="minorEastAsia" w:hAnsiTheme="minorEastAsia"/>
            <w:noProof/>
            <w:webHidden/>
            <w:sz w:val="28"/>
            <w:szCs w:val="28"/>
          </w:rPr>
          <w:fldChar w:fldCharType="end"/>
        </w:r>
      </w:hyperlink>
    </w:p>
    <w:p w14:paraId="735102AC" w14:textId="3EC0BB55" w:rsidR="00D33327" w:rsidRPr="00DA37C9" w:rsidRDefault="00D33327">
      <w:pPr>
        <w:pStyle w:val="TOC2"/>
        <w:tabs>
          <w:tab w:val="right" w:leader="dot" w:pos="8268"/>
        </w:tabs>
        <w:rPr>
          <w:rFonts w:asciiTheme="minorEastAsia" w:eastAsiaTheme="minorEastAsia" w:hAnsiTheme="minorEastAsia" w:cstheme="minorBidi" w:hint="eastAsia"/>
          <w:noProof/>
          <w:sz w:val="28"/>
          <w:szCs w:val="28"/>
        </w:rPr>
      </w:pPr>
      <w:hyperlink w:anchor="_Toc204606371" w:history="1">
        <w:r w:rsidRPr="00DA37C9">
          <w:rPr>
            <w:rStyle w:val="af4"/>
            <w:rFonts w:asciiTheme="minorEastAsia" w:eastAsiaTheme="minorEastAsia" w:hAnsiTheme="minorEastAsia"/>
            <w:noProof/>
            <w:sz w:val="28"/>
            <w:szCs w:val="28"/>
          </w:rPr>
          <w:t>（二）标准起草单位</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_Toc204606371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1</w:t>
        </w:r>
        <w:r w:rsidRPr="00DA37C9">
          <w:rPr>
            <w:rFonts w:asciiTheme="minorEastAsia" w:eastAsiaTheme="minorEastAsia" w:hAnsiTheme="minorEastAsia"/>
            <w:noProof/>
            <w:webHidden/>
            <w:sz w:val="28"/>
            <w:szCs w:val="28"/>
          </w:rPr>
          <w:fldChar w:fldCharType="end"/>
        </w:r>
      </w:hyperlink>
    </w:p>
    <w:p w14:paraId="05E088DC" w14:textId="36C3050F" w:rsidR="00D33327" w:rsidRPr="00DA37C9" w:rsidRDefault="00D33327">
      <w:pPr>
        <w:pStyle w:val="TOC2"/>
        <w:tabs>
          <w:tab w:val="right" w:leader="dot" w:pos="8268"/>
        </w:tabs>
        <w:rPr>
          <w:rFonts w:asciiTheme="minorEastAsia" w:eastAsiaTheme="minorEastAsia" w:hAnsiTheme="minorEastAsia" w:cstheme="minorBidi" w:hint="eastAsia"/>
          <w:noProof/>
          <w:sz w:val="28"/>
          <w:szCs w:val="28"/>
        </w:rPr>
      </w:pPr>
      <w:hyperlink w:anchor="_Toc204606372" w:history="1">
        <w:r w:rsidRPr="00DA37C9">
          <w:rPr>
            <w:rStyle w:val="af4"/>
            <w:rFonts w:asciiTheme="minorEastAsia" w:eastAsiaTheme="minorEastAsia" w:hAnsiTheme="minorEastAsia"/>
            <w:noProof/>
            <w:sz w:val="28"/>
            <w:szCs w:val="28"/>
          </w:rPr>
          <w:t>（三）标准的研究和制订过程</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_Toc204606372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2</w:t>
        </w:r>
        <w:r w:rsidRPr="00DA37C9">
          <w:rPr>
            <w:rFonts w:asciiTheme="minorEastAsia" w:eastAsiaTheme="minorEastAsia" w:hAnsiTheme="minorEastAsia"/>
            <w:noProof/>
            <w:webHidden/>
            <w:sz w:val="28"/>
            <w:szCs w:val="28"/>
          </w:rPr>
          <w:fldChar w:fldCharType="end"/>
        </w:r>
      </w:hyperlink>
    </w:p>
    <w:p w14:paraId="11EF0384" w14:textId="31A8BDD4" w:rsidR="00D33327" w:rsidRPr="00DA37C9" w:rsidRDefault="00D33327">
      <w:pPr>
        <w:pStyle w:val="TOC1"/>
        <w:tabs>
          <w:tab w:val="right" w:leader="dot" w:pos="8268"/>
        </w:tabs>
        <w:rPr>
          <w:rFonts w:asciiTheme="minorEastAsia" w:eastAsiaTheme="minorEastAsia" w:hAnsiTheme="minorEastAsia" w:cstheme="minorBidi" w:hint="eastAsia"/>
          <w:noProof/>
          <w:sz w:val="28"/>
          <w:szCs w:val="28"/>
        </w:rPr>
      </w:pPr>
      <w:hyperlink w:anchor="_Toc204606373" w:history="1">
        <w:r w:rsidRPr="00DA37C9">
          <w:rPr>
            <w:rStyle w:val="af4"/>
            <w:rFonts w:asciiTheme="minorEastAsia" w:eastAsiaTheme="minorEastAsia" w:hAnsiTheme="minorEastAsia"/>
            <w:noProof/>
            <w:sz w:val="28"/>
            <w:szCs w:val="28"/>
          </w:rPr>
          <w:t>二、编制原则和主要内容</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_Toc204606373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2</w:t>
        </w:r>
        <w:r w:rsidRPr="00DA37C9">
          <w:rPr>
            <w:rFonts w:asciiTheme="minorEastAsia" w:eastAsiaTheme="minorEastAsia" w:hAnsiTheme="minorEastAsia"/>
            <w:noProof/>
            <w:webHidden/>
            <w:sz w:val="28"/>
            <w:szCs w:val="28"/>
          </w:rPr>
          <w:fldChar w:fldCharType="end"/>
        </w:r>
      </w:hyperlink>
    </w:p>
    <w:p w14:paraId="19669D25" w14:textId="50B3AC27" w:rsidR="00D33327" w:rsidRPr="00DA37C9" w:rsidRDefault="00D33327">
      <w:pPr>
        <w:pStyle w:val="TOC2"/>
        <w:tabs>
          <w:tab w:val="right" w:leader="dot" w:pos="8268"/>
        </w:tabs>
        <w:rPr>
          <w:rFonts w:asciiTheme="minorEastAsia" w:eastAsiaTheme="minorEastAsia" w:hAnsiTheme="minorEastAsia" w:cstheme="minorBidi" w:hint="eastAsia"/>
          <w:noProof/>
          <w:sz w:val="28"/>
          <w:szCs w:val="28"/>
        </w:rPr>
      </w:pPr>
      <w:hyperlink w:anchor="_Toc204606374" w:history="1">
        <w:r w:rsidRPr="00DA37C9">
          <w:rPr>
            <w:rStyle w:val="af4"/>
            <w:rFonts w:asciiTheme="minorEastAsia" w:eastAsiaTheme="minorEastAsia" w:hAnsiTheme="minorEastAsia"/>
            <w:noProof/>
            <w:sz w:val="28"/>
            <w:szCs w:val="28"/>
          </w:rPr>
          <w:t>（一）编制原则</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_Toc204606374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2</w:t>
        </w:r>
        <w:r w:rsidRPr="00DA37C9">
          <w:rPr>
            <w:rFonts w:asciiTheme="minorEastAsia" w:eastAsiaTheme="minorEastAsia" w:hAnsiTheme="minorEastAsia"/>
            <w:noProof/>
            <w:webHidden/>
            <w:sz w:val="28"/>
            <w:szCs w:val="28"/>
          </w:rPr>
          <w:fldChar w:fldCharType="end"/>
        </w:r>
      </w:hyperlink>
    </w:p>
    <w:p w14:paraId="10A76524" w14:textId="480E85F4" w:rsidR="00D33327" w:rsidRPr="00DA37C9" w:rsidRDefault="00D33327">
      <w:pPr>
        <w:pStyle w:val="TOC2"/>
        <w:tabs>
          <w:tab w:val="right" w:leader="dot" w:pos="8268"/>
        </w:tabs>
        <w:rPr>
          <w:rFonts w:asciiTheme="minorEastAsia" w:eastAsiaTheme="minorEastAsia" w:hAnsiTheme="minorEastAsia" w:cstheme="minorBidi" w:hint="eastAsia"/>
          <w:noProof/>
          <w:sz w:val="28"/>
          <w:szCs w:val="28"/>
        </w:rPr>
      </w:pPr>
      <w:hyperlink w:anchor="_Toc204606375" w:history="1">
        <w:r w:rsidRPr="00DA37C9">
          <w:rPr>
            <w:rStyle w:val="af4"/>
            <w:rFonts w:asciiTheme="minorEastAsia" w:eastAsiaTheme="minorEastAsia" w:hAnsiTheme="minorEastAsia"/>
            <w:noProof/>
            <w:sz w:val="28"/>
            <w:szCs w:val="28"/>
          </w:rPr>
          <w:t>（二）主要内容</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_Toc204606375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3</w:t>
        </w:r>
        <w:r w:rsidRPr="00DA37C9">
          <w:rPr>
            <w:rFonts w:asciiTheme="minorEastAsia" w:eastAsiaTheme="minorEastAsia" w:hAnsiTheme="minorEastAsia"/>
            <w:noProof/>
            <w:webHidden/>
            <w:sz w:val="28"/>
            <w:szCs w:val="28"/>
          </w:rPr>
          <w:fldChar w:fldCharType="end"/>
        </w:r>
      </w:hyperlink>
    </w:p>
    <w:p w14:paraId="00DFE19C" w14:textId="7652D7BA" w:rsidR="00D33327" w:rsidRPr="00DA37C9" w:rsidRDefault="00D33327">
      <w:pPr>
        <w:pStyle w:val="TOC2"/>
        <w:tabs>
          <w:tab w:val="right" w:leader="dot" w:pos="8268"/>
        </w:tabs>
        <w:rPr>
          <w:rFonts w:asciiTheme="minorEastAsia" w:eastAsiaTheme="minorEastAsia" w:hAnsiTheme="minorEastAsia" w:cstheme="minorBidi" w:hint="eastAsia"/>
          <w:noProof/>
          <w:sz w:val="28"/>
          <w:szCs w:val="28"/>
        </w:rPr>
      </w:pPr>
      <w:hyperlink w:anchor="_Toc204606376" w:history="1">
        <w:r w:rsidRPr="00DA37C9">
          <w:rPr>
            <w:rStyle w:val="af4"/>
            <w:rFonts w:asciiTheme="minorEastAsia" w:eastAsiaTheme="minorEastAsia" w:hAnsiTheme="minorEastAsia"/>
            <w:noProof/>
            <w:sz w:val="28"/>
            <w:szCs w:val="28"/>
          </w:rPr>
          <w:t>（三）确定依据</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_Toc204606376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3</w:t>
        </w:r>
        <w:r w:rsidRPr="00DA37C9">
          <w:rPr>
            <w:rFonts w:asciiTheme="minorEastAsia" w:eastAsiaTheme="minorEastAsia" w:hAnsiTheme="minorEastAsia"/>
            <w:noProof/>
            <w:webHidden/>
            <w:sz w:val="28"/>
            <w:szCs w:val="28"/>
          </w:rPr>
          <w:fldChar w:fldCharType="end"/>
        </w:r>
      </w:hyperlink>
    </w:p>
    <w:p w14:paraId="27DED4BF" w14:textId="62625D63" w:rsidR="00D33327" w:rsidRPr="00DA37C9" w:rsidRDefault="00D33327">
      <w:pPr>
        <w:pStyle w:val="TOC1"/>
        <w:tabs>
          <w:tab w:val="right" w:leader="dot" w:pos="8268"/>
        </w:tabs>
        <w:rPr>
          <w:rFonts w:asciiTheme="minorEastAsia" w:eastAsiaTheme="minorEastAsia" w:hAnsiTheme="minorEastAsia" w:cstheme="minorBidi" w:hint="eastAsia"/>
          <w:noProof/>
          <w:sz w:val="28"/>
          <w:szCs w:val="28"/>
        </w:rPr>
      </w:pPr>
      <w:hyperlink w:anchor="_Toc204606377" w:history="1">
        <w:r w:rsidRPr="00DA37C9">
          <w:rPr>
            <w:rStyle w:val="af4"/>
            <w:rFonts w:asciiTheme="minorEastAsia" w:eastAsiaTheme="minorEastAsia" w:hAnsiTheme="minorEastAsia"/>
            <w:noProof/>
            <w:sz w:val="28"/>
            <w:szCs w:val="28"/>
          </w:rPr>
          <w:t>三、预期经济、社会效益</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_Toc204606377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14</w:t>
        </w:r>
        <w:r w:rsidRPr="00DA37C9">
          <w:rPr>
            <w:rFonts w:asciiTheme="minorEastAsia" w:eastAsiaTheme="minorEastAsia" w:hAnsiTheme="minorEastAsia"/>
            <w:noProof/>
            <w:webHidden/>
            <w:sz w:val="28"/>
            <w:szCs w:val="28"/>
          </w:rPr>
          <w:fldChar w:fldCharType="end"/>
        </w:r>
      </w:hyperlink>
    </w:p>
    <w:p w14:paraId="2A946A46" w14:textId="370F8949" w:rsidR="00D33327" w:rsidRPr="00DA37C9" w:rsidRDefault="00D33327">
      <w:pPr>
        <w:pStyle w:val="TOC1"/>
        <w:tabs>
          <w:tab w:val="right" w:leader="dot" w:pos="8268"/>
        </w:tabs>
        <w:rPr>
          <w:rFonts w:asciiTheme="minorEastAsia" w:eastAsiaTheme="minorEastAsia" w:hAnsiTheme="minorEastAsia" w:cstheme="minorBidi" w:hint="eastAsia"/>
          <w:noProof/>
          <w:sz w:val="28"/>
          <w:szCs w:val="28"/>
        </w:rPr>
      </w:pPr>
      <w:hyperlink w:anchor="_Toc204606378" w:history="1">
        <w:r w:rsidRPr="00DA37C9">
          <w:rPr>
            <w:rStyle w:val="af4"/>
            <w:rFonts w:asciiTheme="minorEastAsia" w:eastAsiaTheme="minorEastAsia" w:hAnsiTheme="minorEastAsia"/>
            <w:noProof/>
            <w:sz w:val="28"/>
            <w:szCs w:val="28"/>
          </w:rPr>
          <w:t>四、采用国际、国内标准的程度</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_Toc204606378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16</w:t>
        </w:r>
        <w:r w:rsidRPr="00DA37C9">
          <w:rPr>
            <w:rFonts w:asciiTheme="minorEastAsia" w:eastAsiaTheme="minorEastAsia" w:hAnsiTheme="minorEastAsia"/>
            <w:noProof/>
            <w:webHidden/>
            <w:sz w:val="28"/>
            <w:szCs w:val="28"/>
          </w:rPr>
          <w:fldChar w:fldCharType="end"/>
        </w:r>
      </w:hyperlink>
    </w:p>
    <w:p w14:paraId="1ABDB7F7" w14:textId="62F4C98A" w:rsidR="00D33327" w:rsidRPr="00DA37C9" w:rsidRDefault="00D33327">
      <w:pPr>
        <w:pStyle w:val="TOC1"/>
        <w:tabs>
          <w:tab w:val="right" w:leader="dot" w:pos="8268"/>
        </w:tabs>
        <w:rPr>
          <w:rFonts w:asciiTheme="minorEastAsia" w:eastAsiaTheme="minorEastAsia" w:hAnsiTheme="minorEastAsia" w:cstheme="minorBidi" w:hint="eastAsia"/>
          <w:noProof/>
          <w:sz w:val="28"/>
          <w:szCs w:val="28"/>
        </w:rPr>
      </w:pPr>
      <w:hyperlink w:anchor="_Toc204606379" w:history="1">
        <w:r w:rsidRPr="00DA37C9">
          <w:rPr>
            <w:rStyle w:val="af4"/>
            <w:rFonts w:asciiTheme="minorEastAsia" w:eastAsiaTheme="minorEastAsia" w:hAnsiTheme="minorEastAsia"/>
            <w:noProof/>
            <w:sz w:val="28"/>
            <w:szCs w:val="28"/>
          </w:rPr>
          <w:t>五、与现行法律法规和标准的关系</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_Toc204606379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16</w:t>
        </w:r>
        <w:r w:rsidRPr="00DA37C9">
          <w:rPr>
            <w:rFonts w:asciiTheme="minorEastAsia" w:eastAsiaTheme="minorEastAsia" w:hAnsiTheme="minorEastAsia"/>
            <w:noProof/>
            <w:webHidden/>
            <w:sz w:val="28"/>
            <w:szCs w:val="28"/>
          </w:rPr>
          <w:fldChar w:fldCharType="end"/>
        </w:r>
      </w:hyperlink>
    </w:p>
    <w:p w14:paraId="7B474738" w14:textId="4CB7EDCA" w:rsidR="00D33327" w:rsidRPr="00DA37C9" w:rsidRDefault="00D33327">
      <w:pPr>
        <w:pStyle w:val="TOC1"/>
        <w:tabs>
          <w:tab w:val="right" w:leader="dot" w:pos="8268"/>
        </w:tabs>
        <w:rPr>
          <w:rFonts w:asciiTheme="minorEastAsia" w:eastAsiaTheme="minorEastAsia" w:hAnsiTheme="minorEastAsia" w:cstheme="minorBidi" w:hint="eastAsia"/>
          <w:noProof/>
          <w:sz w:val="28"/>
          <w:szCs w:val="28"/>
        </w:rPr>
      </w:pPr>
      <w:hyperlink w:anchor="_Toc204606380" w:history="1">
        <w:r w:rsidRPr="00DA37C9">
          <w:rPr>
            <w:rStyle w:val="af4"/>
            <w:rFonts w:asciiTheme="minorEastAsia" w:eastAsiaTheme="minorEastAsia" w:hAnsiTheme="minorEastAsia"/>
            <w:noProof/>
            <w:sz w:val="28"/>
            <w:szCs w:val="28"/>
          </w:rPr>
          <w:t>六、重大分歧意见的处理经过和依据</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_Toc204606380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16</w:t>
        </w:r>
        <w:r w:rsidRPr="00DA37C9">
          <w:rPr>
            <w:rFonts w:asciiTheme="minorEastAsia" w:eastAsiaTheme="minorEastAsia" w:hAnsiTheme="minorEastAsia"/>
            <w:noProof/>
            <w:webHidden/>
            <w:sz w:val="28"/>
            <w:szCs w:val="28"/>
          </w:rPr>
          <w:fldChar w:fldCharType="end"/>
        </w:r>
      </w:hyperlink>
    </w:p>
    <w:p w14:paraId="788438A6" w14:textId="6D81A74B" w:rsidR="00D33327" w:rsidRPr="00DA37C9" w:rsidRDefault="00D33327">
      <w:pPr>
        <w:pStyle w:val="TOC1"/>
        <w:tabs>
          <w:tab w:val="right" w:leader="dot" w:pos="8268"/>
        </w:tabs>
        <w:rPr>
          <w:rFonts w:asciiTheme="minorEastAsia" w:eastAsiaTheme="minorEastAsia" w:hAnsiTheme="minorEastAsia" w:cstheme="minorBidi" w:hint="eastAsia"/>
          <w:noProof/>
          <w:sz w:val="28"/>
          <w:szCs w:val="28"/>
        </w:rPr>
      </w:pPr>
      <w:hyperlink w:anchor="_Toc204606381" w:history="1">
        <w:r w:rsidRPr="00DA37C9">
          <w:rPr>
            <w:rStyle w:val="af4"/>
            <w:rFonts w:asciiTheme="minorEastAsia" w:eastAsiaTheme="minorEastAsia" w:hAnsiTheme="minorEastAsia"/>
            <w:noProof/>
            <w:sz w:val="28"/>
            <w:szCs w:val="28"/>
          </w:rPr>
          <w:t>七、其他应予说明的事项</w:t>
        </w:r>
        <w:r w:rsidRPr="00DA37C9">
          <w:rPr>
            <w:rFonts w:asciiTheme="minorEastAsia" w:eastAsiaTheme="minorEastAsia" w:hAnsiTheme="minorEastAsia"/>
            <w:noProof/>
            <w:webHidden/>
            <w:sz w:val="28"/>
            <w:szCs w:val="28"/>
          </w:rPr>
          <w:tab/>
        </w:r>
        <w:r w:rsidRPr="00DA37C9">
          <w:rPr>
            <w:rFonts w:asciiTheme="minorEastAsia" w:eastAsiaTheme="minorEastAsia" w:hAnsiTheme="minorEastAsia"/>
            <w:noProof/>
            <w:webHidden/>
            <w:sz w:val="28"/>
            <w:szCs w:val="28"/>
          </w:rPr>
          <w:fldChar w:fldCharType="begin"/>
        </w:r>
        <w:r w:rsidRPr="00DA37C9">
          <w:rPr>
            <w:rFonts w:asciiTheme="minorEastAsia" w:eastAsiaTheme="minorEastAsia" w:hAnsiTheme="minorEastAsia"/>
            <w:noProof/>
            <w:webHidden/>
            <w:sz w:val="28"/>
            <w:szCs w:val="28"/>
          </w:rPr>
          <w:instrText xml:space="preserve"> PAGEREF _Toc204606381 \h </w:instrText>
        </w:r>
        <w:r w:rsidRPr="00DA37C9">
          <w:rPr>
            <w:rFonts w:asciiTheme="minorEastAsia" w:eastAsiaTheme="minorEastAsia" w:hAnsiTheme="minorEastAsia"/>
            <w:noProof/>
            <w:webHidden/>
            <w:sz w:val="28"/>
            <w:szCs w:val="28"/>
          </w:rPr>
        </w:r>
        <w:r w:rsidRPr="00DA37C9">
          <w:rPr>
            <w:rFonts w:asciiTheme="minorEastAsia" w:eastAsiaTheme="minorEastAsia" w:hAnsiTheme="minorEastAsia"/>
            <w:noProof/>
            <w:webHidden/>
            <w:sz w:val="28"/>
            <w:szCs w:val="28"/>
          </w:rPr>
          <w:fldChar w:fldCharType="separate"/>
        </w:r>
        <w:r w:rsidR="00740A09">
          <w:rPr>
            <w:rFonts w:asciiTheme="minorEastAsia" w:eastAsiaTheme="minorEastAsia" w:hAnsiTheme="minorEastAsia" w:hint="eastAsia"/>
            <w:noProof/>
            <w:webHidden/>
            <w:sz w:val="28"/>
            <w:szCs w:val="28"/>
          </w:rPr>
          <w:t>16</w:t>
        </w:r>
        <w:r w:rsidRPr="00DA37C9">
          <w:rPr>
            <w:rFonts w:asciiTheme="minorEastAsia" w:eastAsiaTheme="minorEastAsia" w:hAnsiTheme="minorEastAsia"/>
            <w:noProof/>
            <w:webHidden/>
            <w:sz w:val="28"/>
            <w:szCs w:val="28"/>
          </w:rPr>
          <w:fldChar w:fldCharType="end"/>
        </w:r>
      </w:hyperlink>
    </w:p>
    <w:p w14:paraId="17EAD948" w14:textId="0E69B863" w:rsidR="00040838" w:rsidRPr="00040838" w:rsidRDefault="00BC4050" w:rsidP="00040838">
      <w:pPr>
        <w:spacing w:beforeLines="50" w:before="156" w:afterLines="50" w:after="156" w:line="500" w:lineRule="exact"/>
        <w:rPr>
          <w:rFonts w:ascii="黑体" w:eastAsia="黑体" w:hAnsi="黑体" w:hint="eastAsia"/>
          <w:sz w:val="32"/>
          <w:szCs w:val="32"/>
        </w:rPr>
        <w:sectPr w:rsidR="00040838" w:rsidRPr="00040838" w:rsidSect="00D57AEC">
          <w:footerReference w:type="default" r:id="rId8"/>
          <w:pgSz w:w="11906" w:h="16838"/>
          <w:pgMar w:top="1588" w:right="1644" w:bottom="1588" w:left="1644" w:header="851" w:footer="992" w:gutter="0"/>
          <w:cols w:space="425"/>
          <w:docGrid w:type="lines" w:linePitch="312"/>
        </w:sectPr>
      </w:pPr>
      <w:r w:rsidRPr="00DA37C9">
        <w:rPr>
          <w:rFonts w:asciiTheme="minorEastAsia" w:eastAsiaTheme="minorEastAsia" w:hAnsiTheme="minorEastAsia"/>
          <w:sz w:val="28"/>
          <w:szCs w:val="28"/>
        </w:rPr>
        <w:fldChar w:fldCharType="end"/>
      </w:r>
    </w:p>
    <w:p w14:paraId="0D773FB7" w14:textId="77777777" w:rsidR="00373655" w:rsidRPr="00DA37C9" w:rsidRDefault="00373655" w:rsidP="00DA37C9">
      <w:pPr>
        <w:spacing w:beforeLines="100" w:before="312" w:afterLines="50" w:after="156" w:line="500" w:lineRule="exact"/>
        <w:ind w:firstLineChars="200" w:firstLine="640"/>
        <w:outlineLvl w:val="0"/>
        <w:rPr>
          <w:rFonts w:ascii="黑体" w:eastAsia="黑体" w:hAnsi="黑体" w:hint="eastAsia"/>
          <w:sz w:val="32"/>
          <w:szCs w:val="32"/>
        </w:rPr>
      </w:pPr>
      <w:bookmarkStart w:id="0" w:name="_Toc491264258"/>
      <w:bookmarkStart w:id="1" w:name="_Toc204606369"/>
      <w:r w:rsidRPr="00DA37C9">
        <w:rPr>
          <w:rFonts w:ascii="黑体" w:eastAsia="黑体" w:hAnsi="黑体" w:hint="eastAsia"/>
          <w:sz w:val="32"/>
          <w:szCs w:val="32"/>
        </w:rPr>
        <w:lastRenderedPageBreak/>
        <w:t>一、项目简况</w:t>
      </w:r>
      <w:bookmarkEnd w:id="0"/>
      <w:bookmarkEnd w:id="1"/>
    </w:p>
    <w:p w14:paraId="32D401D5" w14:textId="107B16A1" w:rsidR="00373655" w:rsidRPr="00DA37C9" w:rsidRDefault="00373655" w:rsidP="00DA37C9">
      <w:pPr>
        <w:spacing w:line="360" w:lineRule="auto"/>
        <w:ind w:firstLineChars="200" w:firstLine="562"/>
        <w:outlineLvl w:val="1"/>
        <w:rPr>
          <w:rFonts w:ascii="宋体" w:hAnsi="宋体" w:hint="eastAsia"/>
          <w:b/>
          <w:bCs/>
          <w:sz w:val="28"/>
          <w:szCs w:val="28"/>
        </w:rPr>
      </w:pPr>
      <w:bookmarkStart w:id="2" w:name="_Toc491264259"/>
      <w:bookmarkStart w:id="3" w:name="_Toc204606370"/>
      <w:r w:rsidRPr="00DA37C9">
        <w:rPr>
          <w:rFonts w:ascii="宋体" w:hAnsi="宋体" w:hint="eastAsia"/>
          <w:b/>
          <w:bCs/>
          <w:sz w:val="28"/>
          <w:szCs w:val="28"/>
        </w:rPr>
        <w:t>（一）项目来源</w:t>
      </w:r>
      <w:bookmarkEnd w:id="2"/>
      <w:bookmarkEnd w:id="3"/>
    </w:p>
    <w:p w14:paraId="3DAF49FE" w14:textId="3B74A2FF" w:rsidR="00DA37C9" w:rsidRPr="00B64E7F" w:rsidRDefault="00DA37C9" w:rsidP="00DA37C9">
      <w:pPr>
        <w:spacing w:line="360" w:lineRule="auto"/>
        <w:ind w:firstLineChars="200" w:firstLine="560"/>
        <w:rPr>
          <w:rFonts w:ascii="宋体" w:hAnsi="宋体" w:hint="eastAsia"/>
          <w:sz w:val="28"/>
          <w:szCs w:val="28"/>
        </w:rPr>
      </w:pPr>
      <w:bookmarkStart w:id="4" w:name="_Toc491264260"/>
      <w:bookmarkStart w:id="5" w:name="_Toc204606371"/>
      <w:r>
        <w:rPr>
          <w:rFonts w:ascii="宋体" w:hAnsi="宋体" w:hint="eastAsia"/>
          <w:sz w:val="28"/>
          <w:szCs w:val="28"/>
        </w:rPr>
        <w:t>本文件</w:t>
      </w:r>
      <w:r w:rsidRPr="00B64E7F">
        <w:rPr>
          <w:rFonts w:ascii="宋体" w:hAnsi="宋体" w:hint="eastAsia"/>
          <w:sz w:val="28"/>
          <w:szCs w:val="28"/>
        </w:rPr>
        <w:t>由中国道路运输协会提出并归口，于2024年</w:t>
      </w:r>
      <w:r>
        <w:rPr>
          <w:rFonts w:ascii="宋体" w:hAnsi="宋体" w:hint="eastAsia"/>
          <w:sz w:val="28"/>
          <w:szCs w:val="28"/>
        </w:rPr>
        <w:t>12</w:t>
      </w:r>
      <w:r w:rsidRPr="00B64E7F">
        <w:rPr>
          <w:rFonts w:ascii="宋体" w:hAnsi="宋体" w:hint="eastAsia"/>
          <w:sz w:val="28"/>
          <w:szCs w:val="28"/>
        </w:rPr>
        <w:t>月</w:t>
      </w:r>
      <w:r>
        <w:rPr>
          <w:rFonts w:ascii="宋体" w:hAnsi="宋体" w:hint="eastAsia"/>
          <w:sz w:val="28"/>
          <w:szCs w:val="28"/>
        </w:rPr>
        <w:t>1</w:t>
      </w:r>
      <w:r w:rsidRPr="00B64E7F">
        <w:rPr>
          <w:rFonts w:ascii="宋体" w:hAnsi="宋体" w:hint="eastAsia"/>
          <w:sz w:val="28"/>
          <w:szCs w:val="28"/>
        </w:rPr>
        <w:t>1日</w:t>
      </w:r>
      <w:r>
        <w:rPr>
          <w:rFonts w:ascii="宋体" w:hAnsi="宋体" w:hint="eastAsia"/>
          <w:sz w:val="28"/>
          <w:szCs w:val="28"/>
        </w:rPr>
        <w:t>下达计划</w:t>
      </w:r>
      <w:r w:rsidRPr="00B64E7F">
        <w:rPr>
          <w:rFonts w:ascii="宋体" w:hAnsi="宋体" w:hint="eastAsia"/>
          <w:sz w:val="28"/>
          <w:szCs w:val="28"/>
        </w:rPr>
        <w:t>，列入2024年度第二批中国道路运输协会团体标准制定计划，编号CRTAS-2024-</w:t>
      </w:r>
      <w:r>
        <w:rPr>
          <w:rFonts w:ascii="宋体" w:hAnsi="宋体" w:hint="eastAsia"/>
          <w:sz w:val="28"/>
          <w:szCs w:val="28"/>
        </w:rPr>
        <w:t>11</w:t>
      </w:r>
      <w:r w:rsidRPr="00B64E7F">
        <w:rPr>
          <w:rFonts w:ascii="宋体" w:hAnsi="宋体" w:hint="eastAsia"/>
          <w:sz w:val="28"/>
          <w:szCs w:val="28"/>
        </w:rPr>
        <w:t>。</w:t>
      </w:r>
    </w:p>
    <w:p w14:paraId="0A57249F" w14:textId="66A1178F" w:rsidR="00373655" w:rsidRPr="00DA37C9" w:rsidRDefault="00373655" w:rsidP="00DA37C9">
      <w:pPr>
        <w:spacing w:line="360" w:lineRule="auto"/>
        <w:ind w:firstLineChars="200" w:firstLine="562"/>
        <w:outlineLvl w:val="1"/>
        <w:rPr>
          <w:rFonts w:ascii="宋体" w:hAnsi="宋体" w:hint="eastAsia"/>
          <w:b/>
          <w:bCs/>
          <w:sz w:val="28"/>
          <w:szCs w:val="28"/>
        </w:rPr>
      </w:pPr>
      <w:r w:rsidRPr="00DA37C9">
        <w:rPr>
          <w:rFonts w:ascii="宋体" w:hAnsi="宋体" w:hint="eastAsia"/>
          <w:b/>
          <w:bCs/>
          <w:sz w:val="28"/>
          <w:szCs w:val="28"/>
        </w:rPr>
        <w:t>（二）标准起草单位</w:t>
      </w:r>
      <w:bookmarkEnd w:id="4"/>
      <w:bookmarkEnd w:id="5"/>
    </w:p>
    <w:p w14:paraId="0D17DB85" w14:textId="31385DDC" w:rsidR="00BC4050" w:rsidRPr="00DA37C9" w:rsidRDefault="00BC4050"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本标准的主要起草单位为交通运输部公路科学研究所。标准起草人为陈炼、王义旭、唐俊忠、赵南希、王馨梓。</w:t>
      </w:r>
    </w:p>
    <w:p w14:paraId="4C248BE0" w14:textId="171A551B" w:rsidR="0039163B" w:rsidRPr="00DA37C9" w:rsidRDefault="00BC4050"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陈炼紧密围绕《促进大数据发展行动纲要》中关于数据资源整合与共享的要求，带领团队开展共享载运单元数据采集、传输、存储及分析等关键技术的研究，主导完成数据接口规范、数据质量评价模型及安全防护机制等核心章节的编制；王义旭统筹推进标准框架设计、核心条款论证及政策合规性审查，确保编制成果符合国家战略导向与行业发展趋势，同时承担与国家标准委、行业协会的对接沟通任务，推动标准纳入行业技术规范体系，唐俊忠同志作为标准起草组核心成员，依据《标准化法》及《交通运输标准化管理办法》要求，系统梳理国内外共享载运单元领域的技术标准现状，结合行业调研数据与典型案例，完成术语定义、分类编码、功能要求等基础性条款的编制，同时建立标准条款与政策文件的映射关系，确保内容符合法律法规及强制性标准要求；赵南希同志牵头制定标准编制质量管理制度，建立“初稿自查—交叉互审—专家终审”三级审核机制，对技术规范中的</w:t>
      </w:r>
      <w:r w:rsidRPr="00DA37C9">
        <w:rPr>
          <w:rFonts w:asciiTheme="minorEastAsia" w:eastAsiaTheme="minorEastAsia" w:hAnsiTheme="minorEastAsia" w:hint="eastAsia"/>
          <w:sz w:val="28"/>
          <w:szCs w:val="28"/>
        </w:rPr>
        <w:lastRenderedPageBreak/>
        <w:t>参数取值、公式推导、图表绘制等细节进行逐项核验；王馨梓组织完成6轮文本校对与格式规范，整改技术性错误23处、表述歧义15处，确保标准文本结构严谨、数据准确、语言规范。</w:t>
      </w:r>
    </w:p>
    <w:p w14:paraId="1342FFF7" w14:textId="47671348" w:rsidR="00BC4050" w:rsidRPr="00DA37C9" w:rsidRDefault="00373655" w:rsidP="00DA37C9">
      <w:pPr>
        <w:spacing w:line="360" w:lineRule="auto"/>
        <w:ind w:firstLineChars="200" w:firstLine="562"/>
        <w:outlineLvl w:val="1"/>
        <w:rPr>
          <w:rFonts w:ascii="宋体" w:hAnsi="宋体" w:hint="eastAsia"/>
          <w:b/>
          <w:bCs/>
          <w:sz w:val="28"/>
          <w:szCs w:val="28"/>
        </w:rPr>
      </w:pPr>
      <w:bookmarkStart w:id="6" w:name="_Toc491264261"/>
      <w:bookmarkStart w:id="7" w:name="_Toc204606372"/>
      <w:r w:rsidRPr="00DA37C9">
        <w:rPr>
          <w:rFonts w:ascii="宋体" w:hAnsi="宋体" w:hint="eastAsia"/>
          <w:b/>
          <w:bCs/>
          <w:sz w:val="28"/>
          <w:szCs w:val="28"/>
        </w:rPr>
        <w:t>（三）标准的研究和制订过程</w:t>
      </w:r>
      <w:bookmarkEnd w:id="6"/>
      <w:bookmarkEnd w:id="7"/>
    </w:p>
    <w:p w14:paraId="12AE2F83" w14:textId="0E4F4CD3" w:rsidR="008B425A" w:rsidRPr="00DA37C9" w:rsidRDefault="00121CC8"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2024年</w:t>
      </w:r>
      <w:r w:rsidR="007B273D" w:rsidRPr="00DA37C9">
        <w:rPr>
          <w:rFonts w:asciiTheme="minorEastAsia" w:eastAsiaTheme="minorEastAsia" w:hAnsiTheme="minorEastAsia"/>
          <w:sz w:val="28"/>
          <w:szCs w:val="28"/>
        </w:rPr>
        <w:t>6</w:t>
      </w:r>
      <w:r w:rsidRPr="00DA37C9">
        <w:rPr>
          <w:rFonts w:asciiTheme="minorEastAsia" w:eastAsiaTheme="minorEastAsia" w:hAnsiTheme="minorEastAsia" w:hint="eastAsia"/>
          <w:sz w:val="28"/>
          <w:szCs w:val="28"/>
        </w:rPr>
        <w:t>月-2024年 10月</w:t>
      </w:r>
      <w:r w:rsidR="008B425A" w:rsidRPr="00DA37C9">
        <w:rPr>
          <w:rFonts w:asciiTheme="minorEastAsia" w:eastAsiaTheme="minorEastAsia" w:hAnsiTheme="minorEastAsia" w:hint="eastAsia"/>
          <w:sz w:val="28"/>
          <w:szCs w:val="28"/>
        </w:rPr>
        <w:t>，成立标准起草组，</w:t>
      </w:r>
      <w:r w:rsidRPr="00DA37C9">
        <w:rPr>
          <w:rFonts w:asciiTheme="minorEastAsia" w:eastAsiaTheme="minorEastAsia" w:hAnsiTheme="minorEastAsia" w:hint="eastAsia"/>
          <w:sz w:val="28"/>
          <w:szCs w:val="28"/>
        </w:rPr>
        <w:t>启动调查研究工作。主要运用查阅文献、实地调研、专家访问、调查问卷等形式，收集整理各方主要信息及专家意见，厘清标准制定中涉及的核心问题，完成初稿</w:t>
      </w:r>
      <w:r w:rsidR="008B425A" w:rsidRPr="00DA37C9">
        <w:rPr>
          <w:rFonts w:asciiTheme="minorEastAsia" w:eastAsiaTheme="minorEastAsia" w:hAnsiTheme="minorEastAsia" w:hint="eastAsia"/>
          <w:sz w:val="28"/>
          <w:szCs w:val="28"/>
        </w:rPr>
        <w:t>；</w:t>
      </w:r>
    </w:p>
    <w:p w14:paraId="3F616DC3" w14:textId="6DB1C85C" w:rsidR="008B425A" w:rsidRPr="00DA37C9" w:rsidRDefault="00121CC8"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202</w:t>
      </w:r>
      <w:r w:rsidR="007B273D" w:rsidRPr="00DA37C9">
        <w:rPr>
          <w:rFonts w:asciiTheme="minorEastAsia" w:eastAsiaTheme="minorEastAsia" w:hAnsiTheme="minorEastAsia"/>
          <w:sz w:val="28"/>
          <w:szCs w:val="28"/>
        </w:rPr>
        <w:t>4</w:t>
      </w:r>
      <w:r w:rsidRPr="00DA37C9">
        <w:rPr>
          <w:rFonts w:asciiTheme="minorEastAsia" w:eastAsiaTheme="minorEastAsia" w:hAnsiTheme="minorEastAsia" w:hint="eastAsia"/>
          <w:sz w:val="28"/>
          <w:szCs w:val="28"/>
        </w:rPr>
        <w:t>年1</w:t>
      </w:r>
      <w:r w:rsidR="007B273D" w:rsidRPr="00DA37C9">
        <w:rPr>
          <w:rFonts w:asciiTheme="minorEastAsia" w:eastAsiaTheme="minorEastAsia" w:hAnsiTheme="minorEastAsia"/>
          <w:sz w:val="28"/>
          <w:szCs w:val="28"/>
        </w:rPr>
        <w:t>1</w:t>
      </w:r>
      <w:r w:rsidRPr="00DA37C9">
        <w:rPr>
          <w:rFonts w:asciiTheme="minorEastAsia" w:eastAsiaTheme="minorEastAsia" w:hAnsiTheme="minorEastAsia" w:hint="eastAsia"/>
          <w:sz w:val="28"/>
          <w:szCs w:val="28"/>
        </w:rPr>
        <w:t>月-20</w:t>
      </w:r>
      <w:r w:rsidR="00986973" w:rsidRPr="00DA37C9">
        <w:rPr>
          <w:rFonts w:asciiTheme="minorEastAsia" w:eastAsiaTheme="minorEastAsia" w:hAnsiTheme="minorEastAsia"/>
          <w:sz w:val="28"/>
          <w:szCs w:val="28"/>
        </w:rPr>
        <w:t>2</w:t>
      </w:r>
      <w:r w:rsidRPr="00DA37C9">
        <w:rPr>
          <w:rFonts w:asciiTheme="minorEastAsia" w:eastAsiaTheme="minorEastAsia" w:hAnsiTheme="minorEastAsia" w:hint="eastAsia"/>
          <w:sz w:val="28"/>
          <w:szCs w:val="28"/>
        </w:rPr>
        <w:t>5年</w:t>
      </w:r>
      <w:r w:rsidR="00986973" w:rsidRPr="00DA37C9">
        <w:rPr>
          <w:rFonts w:asciiTheme="minorEastAsia" w:eastAsiaTheme="minorEastAsia" w:hAnsiTheme="minorEastAsia"/>
          <w:sz w:val="28"/>
          <w:szCs w:val="28"/>
        </w:rPr>
        <w:t>5</w:t>
      </w:r>
      <w:r w:rsidRPr="00DA37C9">
        <w:rPr>
          <w:rFonts w:asciiTheme="minorEastAsia" w:eastAsiaTheme="minorEastAsia" w:hAnsiTheme="minorEastAsia" w:hint="eastAsia"/>
          <w:sz w:val="28"/>
          <w:szCs w:val="28"/>
        </w:rPr>
        <w:t>月，</w:t>
      </w:r>
      <w:r w:rsidR="008B425A" w:rsidRPr="00DA37C9">
        <w:rPr>
          <w:rFonts w:asciiTheme="minorEastAsia" w:eastAsiaTheme="minorEastAsia" w:hAnsiTheme="minorEastAsia" w:hint="eastAsia"/>
          <w:sz w:val="28"/>
          <w:szCs w:val="28"/>
        </w:rPr>
        <w:t>完成标准草案征求意见稿，</w:t>
      </w:r>
      <w:r w:rsidRPr="00DA37C9">
        <w:rPr>
          <w:rFonts w:asciiTheme="minorEastAsia" w:eastAsiaTheme="minorEastAsia" w:hAnsiTheme="minorEastAsia" w:hint="eastAsia"/>
          <w:sz w:val="28"/>
          <w:szCs w:val="28"/>
        </w:rPr>
        <w:t>通过发征求意见函或召开征求意见会的形式向有关交通运输管理部门、道路协会、标准使用单位征求意见，并完成</w:t>
      </w:r>
      <w:r w:rsidR="00986973" w:rsidRPr="00DA37C9">
        <w:rPr>
          <w:rFonts w:asciiTheme="minorEastAsia" w:eastAsiaTheme="minorEastAsia" w:hAnsiTheme="minorEastAsia" w:hint="eastAsia"/>
          <w:sz w:val="28"/>
          <w:szCs w:val="28"/>
        </w:rPr>
        <w:t>意见征求</w:t>
      </w:r>
      <w:r w:rsidR="00A20CC7" w:rsidRPr="00DA37C9">
        <w:rPr>
          <w:rFonts w:asciiTheme="minorEastAsia" w:eastAsiaTheme="minorEastAsia" w:hAnsiTheme="minorEastAsia" w:hint="eastAsia"/>
          <w:sz w:val="28"/>
          <w:szCs w:val="28"/>
        </w:rPr>
        <w:t>稿</w:t>
      </w:r>
      <w:r w:rsidR="008B425A" w:rsidRPr="00DA37C9">
        <w:rPr>
          <w:rFonts w:asciiTheme="minorEastAsia" w:eastAsiaTheme="minorEastAsia" w:hAnsiTheme="minorEastAsia" w:hint="eastAsia"/>
          <w:sz w:val="28"/>
          <w:szCs w:val="28"/>
        </w:rPr>
        <w:t>；</w:t>
      </w:r>
    </w:p>
    <w:p w14:paraId="5A4EAD2E" w14:textId="77777777" w:rsidR="00373655" w:rsidRPr="00DA37C9" w:rsidRDefault="00373655" w:rsidP="00DA37C9">
      <w:pPr>
        <w:spacing w:beforeLines="100" w:before="312" w:afterLines="50" w:after="156" w:line="500" w:lineRule="exact"/>
        <w:ind w:firstLineChars="200" w:firstLine="640"/>
        <w:outlineLvl w:val="0"/>
        <w:rPr>
          <w:rFonts w:ascii="黑体" w:eastAsia="黑体" w:hAnsi="黑体" w:hint="eastAsia"/>
          <w:sz w:val="32"/>
          <w:szCs w:val="32"/>
        </w:rPr>
      </w:pPr>
      <w:bookmarkStart w:id="8" w:name="_Toc491264262"/>
      <w:bookmarkStart w:id="9" w:name="_Toc204606373"/>
      <w:r w:rsidRPr="00DA37C9">
        <w:rPr>
          <w:rFonts w:ascii="黑体" w:eastAsia="黑体" w:hAnsi="黑体" w:hint="eastAsia"/>
          <w:sz w:val="32"/>
          <w:szCs w:val="32"/>
        </w:rPr>
        <w:t>二、编制原则和主要内容</w:t>
      </w:r>
      <w:bookmarkEnd w:id="8"/>
      <w:bookmarkEnd w:id="9"/>
    </w:p>
    <w:p w14:paraId="1756B23A" w14:textId="7B1F3B46" w:rsidR="00373655" w:rsidRPr="00DA37C9" w:rsidRDefault="00373655" w:rsidP="00DA37C9">
      <w:pPr>
        <w:spacing w:line="360" w:lineRule="auto"/>
        <w:ind w:firstLineChars="200" w:firstLine="562"/>
        <w:outlineLvl w:val="1"/>
        <w:rPr>
          <w:rFonts w:ascii="宋体" w:hAnsi="宋体" w:hint="eastAsia"/>
          <w:b/>
          <w:bCs/>
          <w:sz w:val="28"/>
          <w:szCs w:val="28"/>
        </w:rPr>
      </w:pPr>
      <w:bookmarkStart w:id="10" w:name="_Toc491264263"/>
      <w:bookmarkStart w:id="11" w:name="_Toc204606374"/>
      <w:r w:rsidRPr="00DA37C9">
        <w:rPr>
          <w:rFonts w:ascii="宋体" w:hAnsi="宋体" w:hint="eastAsia"/>
          <w:b/>
          <w:bCs/>
          <w:sz w:val="28"/>
          <w:szCs w:val="28"/>
        </w:rPr>
        <w:t>（一）编制原则</w:t>
      </w:r>
      <w:bookmarkEnd w:id="10"/>
      <w:bookmarkEnd w:id="11"/>
    </w:p>
    <w:p w14:paraId="54BAE78F" w14:textId="77777777" w:rsidR="007B273D" w:rsidRPr="00DA37C9" w:rsidRDefault="007B273D"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在“共享载运单元大数据运营平台技术规范标准”编制过程中，严格遵循国家关于交通运输数字化、智能化转型的战略部署，以“政策引领、技术驱动、需求导向、协同创新”为编制原则，确保标准内容符合行业发展规律与实际需求。</w:t>
      </w:r>
    </w:p>
    <w:p w14:paraId="78B68913" w14:textId="34E8E91E" w:rsidR="007B273D" w:rsidRPr="00DA37C9" w:rsidRDefault="007B273D"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一是紧密围绕《“十四五”现代综合交通运输体系发展规划》中“推进物流基础设施数字化升级”及《数字交通发展规划纲要》中“构建一体化数字交通体系”的核心要求，将业务互通层、接入层、用户层及应用层的设计要求与国家政策目标深度对接确保标准成为推动</w:t>
      </w:r>
      <w:r w:rsidRPr="00DA37C9">
        <w:rPr>
          <w:rFonts w:asciiTheme="minorEastAsia" w:eastAsiaTheme="minorEastAsia" w:hAnsiTheme="minorEastAsia" w:hint="eastAsia"/>
          <w:sz w:val="28"/>
          <w:szCs w:val="28"/>
        </w:rPr>
        <w:lastRenderedPageBreak/>
        <w:t>行业治理能力现代化的技术抓手；</w:t>
      </w:r>
    </w:p>
    <w:p w14:paraId="4071975A" w14:textId="77777777" w:rsidR="007B273D" w:rsidRPr="00DA37C9" w:rsidRDefault="007B273D"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二是充分吸纳《信息技术 大数据 数据分类指南》《物联网 系统接口要求》等现行标准的技术成果，结合区块链、边缘计算、数字孪生等前沿技术，在“大数据分析架构设计要求”中提出分布式计算与实时分析融合方案，同时预留技术升级接口，为未来5G-A、AI大模型等技术的集成应用提供空间；</w:t>
      </w:r>
    </w:p>
    <w:p w14:paraId="7831F492" w14:textId="6A4870E1" w:rsidR="007B273D" w:rsidRPr="00DA37C9" w:rsidRDefault="007B273D"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三是通过深入调研32家物流企业、15个物流枢纽及5家科技公司的实际需求，在“客户体验指标”中量化操作便捷性、服务响应速度等可感知指标，在“电子围栏管理”章节中优化区域划分算法与异常预警机制，确保标准内容贴近企业生产运营场景，解决数据孤岛、业务协同效率低等痛点问题。</w:t>
      </w:r>
    </w:p>
    <w:p w14:paraId="74001FDA" w14:textId="77777777" w:rsidR="00373655" w:rsidRPr="00DA37C9" w:rsidRDefault="00373655" w:rsidP="00DA37C9">
      <w:pPr>
        <w:spacing w:line="360" w:lineRule="auto"/>
        <w:ind w:firstLineChars="200" w:firstLine="562"/>
        <w:outlineLvl w:val="1"/>
        <w:rPr>
          <w:rFonts w:ascii="宋体" w:hAnsi="宋体" w:hint="eastAsia"/>
          <w:b/>
          <w:bCs/>
          <w:sz w:val="28"/>
          <w:szCs w:val="28"/>
        </w:rPr>
      </w:pPr>
      <w:bookmarkStart w:id="12" w:name="_Toc491264264"/>
      <w:bookmarkStart w:id="13" w:name="_Toc204606375"/>
      <w:r w:rsidRPr="00DA37C9">
        <w:rPr>
          <w:rFonts w:ascii="宋体" w:hAnsi="宋体" w:hint="eastAsia"/>
          <w:b/>
          <w:bCs/>
          <w:sz w:val="28"/>
          <w:szCs w:val="28"/>
        </w:rPr>
        <w:t>（二）主要内容</w:t>
      </w:r>
      <w:bookmarkEnd w:id="12"/>
      <w:bookmarkEnd w:id="13"/>
    </w:p>
    <w:p w14:paraId="171F206A" w14:textId="77777777" w:rsidR="002C3019" w:rsidRPr="00DA37C9" w:rsidRDefault="002C3019"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1</w:t>
      </w:r>
      <w:r w:rsidRPr="00DA37C9">
        <w:rPr>
          <w:rFonts w:asciiTheme="minorEastAsia" w:eastAsiaTheme="minorEastAsia" w:hAnsiTheme="minorEastAsia"/>
          <w:sz w:val="28"/>
          <w:szCs w:val="28"/>
        </w:rPr>
        <w:t>.</w:t>
      </w:r>
      <w:r w:rsidRPr="00DA37C9">
        <w:rPr>
          <w:rFonts w:asciiTheme="minorEastAsia" w:eastAsiaTheme="minorEastAsia" w:hAnsiTheme="minorEastAsia" w:hint="eastAsia"/>
          <w:sz w:val="28"/>
          <w:szCs w:val="28"/>
        </w:rPr>
        <w:t>标准名称</w:t>
      </w:r>
    </w:p>
    <w:p w14:paraId="2B6BE7B6" w14:textId="77777777" w:rsidR="002C3019" w:rsidRPr="00DA37C9" w:rsidRDefault="002C3019"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共享载运单元大数据运营平台技术规范标</w:t>
      </w:r>
    </w:p>
    <w:p w14:paraId="00F5C672" w14:textId="3236E906" w:rsidR="00693D26" w:rsidRPr="00DA37C9" w:rsidRDefault="002C3019"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2、标准构架</w:t>
      </w:r>
    </w:p>
    <w:p w14:paraId="7D17051B" w14:textId="379766E1" w:rsidR="00C167D0" w:rsidRPr="00DA37C9" w:rsidRDefault="00C167D0" w:rsidP="00DA37C9">
      <w:pPr>
        <w:pStyle w:val="af5"/>
        <w:ind w:firstLine="560"/>
        <w:rPr>
          <w:rFonts w:asciiTheme="minorEastAsia" w:eastAsiaTheme="minorEastAsia" w:hAnsiTheme="minorEastAsia" w:hint="eastAsia"/>
          <w:sz w:val="28"/>
          <w:szCs w:val="28"/>
        </w:rPr>
      </w:pPr>
      <w:bookmarkStart w:id="14" w:name="_Toc17233326"/>
      <w:bookmarkStart w:id="15" w:name="_Toc24884219"/>
      <w:bookmarkStart w:id="16" w:name="_Toc26648466"/>
      <w:bookmarkStart w:id="17" w:name="_Toc24884212"/>
      <w:bookmarkStart w:id="18" w:name="_Toc17233334"/>
      <w:r w:rsidRPr="00DA37C9">
        <w:rPr>
          <w:rFonts w:asciiTheme="minorEastAsia" w:eastAsiaTheme="minorEastAsia" w:hAnsiTheme="minorEastAsia" w:hint="eastAsia"/>
          <w:sz w:val="28"/>
          <w:szCs w:val="28"/>
        </w:rPr>
        <w:t>本文件规定了智慧物流领域中载运单元大数据监管平台在平台架构、数据交换协议、技术指标等方面应该满足的要求。</w:t>
      </w:r>
    </w:p>
    <w:p w14:paraId="465285CD" w14:textId="392AD494" w:rsidR="002C3019" w:rsidRPr="00DA37C9" w:rsidRDefault="002C3019" w:rsidP="00DA37C9">
      <w:pPr>
        <w:pStyle w:val="af5"/>
        <w:ind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3、标准适用范围</w:t>
      </w:r>
    </w:p>
    <w:p w14:paraId="02042CEF" w14:textId="3768F97F" w:rsidR="009D7622" w:rsidRPr="00DA37C9" w:rsidRDefault="00C167D0" w:rsidP="00DA37C9">
      <w:pPr>
        <w:pStyle w:val="af5"/>
        <w:ind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本文件适用于具有高并发、海量数据背景下的智慧物流领域监管平台体系的建设、应用、质量保障及其数据交换领域。</w:t>
      </w:r>
      <w:bookmarkEnd w:id="14"/>
      <w:bookmarkEnd w:id="15"/>
      <w:bookmarkEnd w:id="16"/>
      <w:bookmarkEnd w:id="17"/>
      <w:bookmarkEnd w:id="18"/>
    </w:p>
    <w:p w14:paraId="6052694C" w14:textId="02617D39" w:rsidR="009D7622" w:rsidRPr="00DA37C9" w:rsidRDefault="009D7622" w:rsidP="00DA37C9">
      <w:pPr>
        <w:spacing w:line="360" w:lineRule="auto"/>
        <w:ind w:firstLineChars="200" w:firstLine="562"/>
        <w:outlineLvl w:val="1"/>
        <w:rPr>
          <w:rFonts w:ascii="宋体" w:hAnsi="宋体" w:hint="eastAsia"/>
          <w:b/>
          <w:bCs/>
          <w:sz w:val="28"/>
          <w:szCs w:val="28"/>
        </w:rPr>
      </w:pPr>
      <w:bookmarkStart w:id="19" w:name="_Toc204606376"/>
      <w:r w:rsidRPr="00DA37C9">
        <w:rPr>
          <w:rFonts w:ascii="宋体" w:hAnsi="宋体" w:hint="eastAsia"/>
          <w:b/>
          <w:bCs/>
          <w:sz w:val="28"/>
          <w:szCs w:val="28"/>
        </w:rPr>
        <w:t>（三）确定依据</w:t>
      </w:r>
      <w:bookmarkEnd w:id="19"/>
    </w:p>
    <w:p w14:paraId="2C490183" w14:textId="6938783F"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第五章对整体架构设计提出要求。主要包括业务互通层、接入层、</w:t>
      </w:r>
      <w:r w:rsidRPr="0090072C">
        <w:rPr>
          <w:rFonts w:asciiTheme="minorEastAsia" w:eastAsiaTheme="minorEastAsia" w:hAnsiTheme="minorEastAsia" w:hint="eastAsia"/>
          <w:sz w:val="28"/>
          <w:szCs w:val="28"/>
        </w:rPr>
        <w:lastRenderedPageBreak/>
        <w:t>用户层、应用层、数据依赖层等内容，确定依据如下：</w:t>
      </w:r>
    </w:p>
    <w:p w14:paraId="07CBB657"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1、业务互通层设计要求确定依据</w:t>
      </w:r>
    </w:p>
    <w:p w14:paraId="2D1EE07A"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业务互通层作为共享载运单元大数据运营平台连接外部资源、丰富平台功能的关键层级，其设计要求的确定紧密围绕平台高效运营与多元化服务展开。集成主流数字地图服务（如百度、高德），是基于当前地理信息在物流运输领域的重要性日益凸显。在共享载运单元的运营中，地理信息可视化展示能让用户直观了解载运单元的分布情况，而运输路径智能规划则可依据实时路况、距离等因素，为用户提供最优的运输路线，有效提升运输效率，降低运营成本，此设计要求符合现代物流行业对智能化、精准化服务的需求趋势。</w:t>
      </w:r>
    </w:p>
    <w:p w14:paraId="14967CFE"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对接移动支付应用（如支付宝、微信），构建安全高效的线上支付通道，是顺应移动支付普及的时代潮流。随着移动支付的广泛应用，用户对于便捷支付方式的需求愈发强烈。通过与主流移动支付平台对接，共享载运单元运营平台能够为用户提供快速、安全的支付体验，减少现金交易带来的不便与风险，同时也有助于平台实时掌握用户支付数据，为后续的运营决策提供有力支持。</w:t>
      </w:r>
    </w:p>
    <w:p w14:paraId="6C45D97D"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融合定位系统（如北斗、GPS），为终端用户及运维人员提供载运单元的实时精准位置数据，是保障平台运营安全与高效的重要举措。在共享载运单元的使用过程中，用户需要实时了解载运单元的位置信息，以便合理安排运输任务；运维人员则可依据精准位置数据，及时对载运单元进行投放、调度、回收和维修等操作，提高运维效率，降低运营成本。此外，定位系统的应用还有助于平台对载运单元进行实</w:t>
      </w:r>
      <w:r w:rsidRPr="0090072C">
        <w:rPr>
          <w:rFonts w:asciiTheme="minorEastAsia" w:eastAsiaTheme="minorEastAsia" w:hAnsiTheme="minorEastAsia" w:hint="eastAsia"/>
          <w:sz w:val="28"/>
          <w:szCs w:val="28"/>
        </w:rPr>
        <w:lastRenderedPageBreak/>
        <w:t>时监控，防止载运单元被盗或丢失，保障平台资产安全。</w:t>
      </w:r>
    </w:p>
    <w:p w14:paraId="4EB5799C"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接入蓝牙功能，建立用户端与载运单元间的物联连接，支持远程无接触解锁功能，保障仓储场景的全天候设备取用，是充分考虑用户使用便利性与仓储场景特殊性的结果。在仓储环境中，传统的接触式解锁方式可能存在操作不便、易受环境影响等问题，而蓝牙无接触解锁功能则可有效解决这些问题，为用户提供更加便捷、高效的使用体验，同时也有助于提高仓储管理的智能化水平。</w:t>
      </w:r>
    </w:p>
    <w:p w14:paraId="2307306A"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接入二维码扫码应用，通过扫码交互实现新用户注册引导、设备解锁操作指引及使用规范说明，是提升用户体验与平台运营效率的有效手段。二维码扫码应用具有操作简单、便捷的特点，用户只需通过手机扫描二维码，即可快速完成新用户注册、设备解锁等操作，同时还能获取详细的使用规范说明，减少用户在使用过程中的困惑与错误操作，提高用户对平台的满意度与忠诚度。</w:t>
      </w:r>
    </w:p>
    <w:p w14:paraId="65D904B5"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接入阿里、华为或者微软提供的云服务平台，负责处理开锁、计费、数据存储等信息交换请求任务，保证载运单元在高并发场景下的高扩展性和快速部署能力，是基于云计算技术在大数据处理与存储方面的优势。云服务平台具有强大的计算能力与存储能力，能够快速处理大量的信息交换请求，确保平台在高并发场景下的稳定运行。同时，云服务平台还具备良好的扩展性，可根据业务需求和数据量的增长，动态地增加或减少计算节点和存储节点，实现弹性伸缩，降低平台的运营成本。</w:t>
      </w:r>
    </w:p>
    <w:p w14:paraId="5196886B"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对接全渠道客户服务体系，集成电话支持、在线应答、文字咨询</w:t>
      </w:r>
      <w:r w:rsidRPr="0090072C">
        <w:rPr>
          <w:rFonts w:asciiTheme="minorEastAsia" w:eastAsiaTheme="minorEastAsia" w:hAnsiTheme="minorEastAsia" w:hint="eastAsia"/>
          <w:sz w:val="28"/>
          <w:szCs w:val="28"/>
        </w:rPr>
        <w:lastRenderedPageBreak/>
        <w:t>等模块，及时响应用户在载运单元使用过程中的各类问题，是提升用户服务质量与平台竞争力的重要保障。在共享载运单元的使用过程中，用户可能会遇到各种问题，如设备故障、支付异常等，及时、有效的客户服务能够帮助用户快速解决问题，提高用户对平台的信任度与满意度。通过集成多种客户服务渠道，平台能够为用户提供全方位、多层次的服务支持，满足不同用户的需求偏好。</w:t>
      </w:r>
    </w:p>
    <w:p w14:paraId="16FC4398"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2、接入层设计要求确定依据</w:t>
      </w:r>
    </w:p>
    <w:p w14:paraId="66B9E613"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接入层作为共享载运单元大数据运营平台与用户终端设备连接的桥梁，其设计要求的确定充分考虑了用户使用的便捷性与平台管理的需求。接入安卓、苹果等移动端设备，让用户能够实时查看载运单元的位置、空闲数据等关键信息，是基于移动端设备在用户日常生活中的普及程度以及其便捷性。随着智能手机的广泛使用，用户越来越倾向于通过移动端设备获取信息与服务。通过接入移动端设备，平台能够为用户提供随时随地的服务，方便用户实时了解载运单元的状态，合理安排运输任务，提高用户的使用体验。</w:t>
      </w:r>
    </w:p>
    <w:p w14:paraId="04BC482A"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接入Linux、Windows等PC端设备，便于后台管理人员维护平台正常运行，是考虑到PC端设备在数据处理与管理方面的优势。后台管理人员需要对平台进行日常维护、数据管理、系统升级等操作，PC端设备具有较大的屏幕、强大的计算能力与稳定的性能，能够满足后台管理人员的复杂操作需求，提高管理效率与准确性。</w:t>
      </w:r>
    </w:p>
    <w:p w14:paraId="46291DE4"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接入IE浏览器、谷歌浏览器等网页端应用，便于实时推送载运单元的租售信息，是基于网页端应用的广泛适用性与信息传播的及时</w:t>
      </w:r>
      <w:r w:rsidRPr="0090072C">
        <w:rPr>
          <w:rFonts w:asciiTheme="minorEastAsia" w:eastAsiaTheme="minorEastAsia" w:hAnsiTheme="minorEastAsia" w:hint="eastAsia"/>
          <w:sz w:val="28"/>
          <w:szCs w:val="28"/>
        </w:rPr>
        <w:lastRenderedPageBreak/>
        <w:t>性。网页端应用无需用户安装额外的软件，只需通过浏览器即可访问，具有较高的便捷性与普及性。通过接入网页端应用，平台能够实时向用户推送载运单元的租售信息，提高信息的传播效率与覆盖面，促进载运单元的租赁与销售业务。</w:t>
      </w:r>
    </w:p>
    <w:p w14:paraId="326C9B3B"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3、用户层设计要求确定依据</w:t>
      </w:r>
    </w:p>
    <w:p w14:paraId="0B8BF363"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用户层作为共享载运单元大数据运营平台直接面向用户的层级，其设计要求的确定紧密围绕不同用户群体的需求特点展开。客户作为平台的主要使用者，需要能够快速查找可用载运单元信息，以便合理安排运输任务；同时，客户还需要处理扫码支付和账户余额查询等金融业务，以满足其支付与资金管理需求。因此，平台应为客户提供便捷的信息查询与金融业务处理功能，提高客户的使用体验与满意度。</w:t>
      </w:r>
    </w:p>
    <w:p w14:paraId="1304E559"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后台管理人员负责维护系统软件的更新和正常运行，处理软件平台运行过程中出现的故障或者异常情况。后台管理人员的工作对于平台的稳定运行至关重要，因此平台应为后台管理人员提供完善的系统管理工具与故障处理机制，方便其进行系统维护与故障排除，确保平台的正常运行。</w:t>
      </w:r>
    </w:p>
    <w:p w14:paraId="3DDF4CA4"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运维人员负责载运单元的投放、调度、回收和维修工作，通过分析用户使用数据为优化载运单元的合理分布和运营策略提供数据支持。运维人员的工作直接关系到载运单元的运营效率与服务质量，因此平台应为运维人员提供准确、全面的载运单元状态信息与用户使用数据，同时提供数据分析工具与决策支持功能，帮助运维人员优化载运单元的分布与运营策略，提高平台的整体运营效益。</w:t>
      </w:r>
    </w:p>
    <w:p w14:paraId="3A8C0A18"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lastRenderedPageBreak/>
        <w:t>监管领导具备管理其他用户的访问权限（如设置、修改或撤销），能够全面了解平台的整体运营数据、载运单元使用状态和用户信息等内容。监管领导需要对平台的运营情况进行全面监管，确保平台的合规运营与数据安全。因此平台应为监管领导提供完善的权限管理功能与数据查询工具，方便其进行监管工作，保障平台的健康发展。</w:t>
      </w:r>
    </w:p>
    <w:p w14:paraId="296BFE61"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合伙人能够实时查看租赁收入、广告收入、制造成本、运营成本、技术研发成本和市场营销方面的财务统计数据，及时了解运营平台的资金储备、现金流动情况等内容。合伙人作为平台的投资者与利益相关者，需要了解平台的财务状况与运营效益，以便做出合理的投资决策。因此平台应为合伙人提供准确、及时的财务统计数据与资金流动信息，保障合伙人的合法权益。</w:t>
      </w:r>
    </w:p>
    <w:p w14:paraId="2F0AA9E7"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4、应用层设计要求确定依据</w:t>
      </w:r>
    </w:p>
    <w:p w14:paraId="4724D484"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应用层作为共享载运单元大数据运营平台实现具体业务功能的核心层级，其设计要求的确定紧密围绕用户管理与业务需求展开。用户管理模块为实现对客户、后台管理员和监管领导等用户信息的有效维护，提供账户信息管理功能，允许用户完成修改用户名、联系方式、密码等必要操作，是为了方便用户管理个人信息，提高用户使用的便捷性与安全性。提供注册登录功能，允许用户通过多种方式完成注册与登录操作，是为了满足不同用户的需求偏好，提高用户注册与登录的成功率。提供用户注销功能，允许用户通过在线申请的方式实现便捷注销操作，是为了保障用户的合法权益，尊重用户的选择。提供消费管理功能，允许用户实时查看账户余额、订单信息、优惠券和完成</w:t>
      </w:r>
      <w:r w:rsidRPr="0090072C">
        <w:rPr>
          <w:rFonts w:asciiTheme="minorEastAsia" w:eastAsiaTheme="minorEastAsia" w:hAnsiTheme="minorEastAsia" w:hint="eastAsia"/>
          <w:sz w:val="28"/>
          <w:szCs w:val="28"/>
        </w:rPr>
        <w:lastRenderedPageBreak/>
        <w:t>充值、支付等必要操作，是为了方便用户进行资金管理与消费操作，提高用户的使用体验。</w:t>
      </w:r>
    </w:p>
    <w:p w14:paraId="6AF99E5F"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第六章接针对大数据分析架构设计要求确定依据如下：</w:t>
      </w:r>
    </w:p>
    <w:p w14:paraId="053D9B3A"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大数据分析架构作为共享载运单元大数据运营平台处理海量数据的关键支撑，其设计要求的确定充分考虑了系统的可扩展性、稳定性、安全性、易维护性和实用性等方面的需求。系统应支持水平扩展，能够根据业务需求和数据量的增长，动态地增加或减少计算节点和存储节点，实现弹性伸缩，是基于大数据环境下数据量快速增长的特点。随着共享载运单元运营业务的不断拓展，平台产生的数据量将不断增加，系统需要具备良好的扩展性，以适应数据量的增长，确保系统的性能不受影响。</w:t>
      </w:r>
    </w:p>
    <w:p w14:paraId="2778A529"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采用HDFS、Lustre等分布式存储方案，确保海量数据的存储和访问能力，是基于分布式存储技术在处理大规模数据方面的优势。分布式存储方案能够将数据分散存储在多个节点上，提高数据的存储容量与访问速度，同时还能增强数据的可靠性与可用性，防止数据丢失。</w:t>
      </w:r>
    </w:p>
    <w:p w14:paraId="5A64EC5C"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系统应具备良好的容错能力和故障恢复机制，确保在硬件或软件故障发生时，能够迅速恢复服务，避免数据丢失和服务中断，是基于平台对高可用性的要求。在共享载运单元大数据运营平台的运行过程中，任何硬件或软件故障都可能导致服务中断，影响用户的正常使用。因此，系统需要具备良好的容错能力与故障恢复机制，能够在故障发生时快速响应，恢复服务，保障平台的稳定运行。</w:t>
      </w:r>
    </w:p>
    <w:p w14:paraId="6CCC76C9"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采用负载均衡技术，合理分配计算资源和存储资源，确保系统在</w:t>
      </w:r>
      <w:r w:rsidRPr="0090072C">
        <w:rPr>
          <w:rFonts w:asciiTheme="minorEastAsia" w:eastAsiaTheme="minorEastAsia" w:hAnsiTheme="minorEastAsia" w:hint="eastAsia"/>
          <w:sz w:val="28"/>
          <w:szCs w:val="28"/>
        </w:rPr>
        <w:lastRenderedPageBreak/>
        <w:t>高并发场景下的稳定运行，是基于平台在高并发场景下的性能需求。在共享载运单元的使用高峰期，平台可能会面临大量的用户请求，负载均衡技术能够将用户请求均匀分配到多个服务器上，避免单个服务器过载，提高系统的整体性能与稳定性。</w:t>
      </w:r>
    </w:p>
    <w:p w14:paraId="7AF5F666"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保证应用层和数据库之间的负载均衡，是为了优化系统资源的使用，提高系统的响应速度。应用层和数据库之间的数据交互频繁，负载均衡能够确保两者之间的数据传输高效、稳定，避免出现数据瓶颈。</w:t>
      </w:r>
    </w:p>
    <w:p w14:paraId="48FAB126"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对敏感数据采用数据加密技术进行存储和大数据分析，确保数据的安全性，是基于数据安全的重要性。在共享载运单元大数据运营平台中，涉及大量用户的个人信息与业务数据，这些数据的安全至关重要。数据加密技术能够对敏感数据进行加密处理，防止数据在存储和传输过程中被窃取或篡改，保障数据的安全性。</w:t>
      </w:r>
    </w:p>
    <w:p w14:paraId="546ACFA7"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第七章对数据对接协议内容及要求的确定依据如下：</w:t>
      </w:r>
    </w:p>
    <w:p w14:paraId="20AD1322"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数据对接协议作为共享载运单元大数据运营平台与外部系统进行数据交换的规范，其通用要求的确定充分考虑了数据交换的效率、安全性与准确性。数据交换格式采用JSON结构，是基于JSON格式在数据交换中的广泛应用与优势。JSON格式具有简洁、易读、易解析的特点，能够方便地实现不同系统之间的数据交换与共享。</w:t>
      </w:r>
    </w:p>
    <w:p w14:paraId="2AC3D48C"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数据传输应采用HTTP、HTTPS协议，是基于这两种协议在互联网数据传输中的安全性与可靠性。HTTP协议是互联网上应用最为广泛的一种网络协议，HTTPS协议则在HTTP协议的基础上增加了SSL/TLS加密层，能够保障数据在传输过程中的安全性，防止数据被窃取或篡</w:t>
      </w:r>
      <w:r w:rsidRPr="0090072C">
        <w:rPr>
          <w:rFonts w:asciiTheme="minorEastAsia" w:eastAsiaTheme="minorEastAsia" w:hAnsiTheme="minorEastAsia" w:hint="eastAsia"/>
          <w:sz w:val="28"/>
          <w:szCs w:val="28"/>
        </w:rPr>
        <w:lastRenderedPageBreak/>
        <w:t>改。</w:t>
      </w:r>
    </w:p>
    <w:p w14:paraId="35BDC67E"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采集的数据应按照规定的频率放入消息队列中，是为了确保数据的实时性与有序性。消息队列能够按照先进先出的原则对数据进行存储和处理，保证数据按照规定的顺序进行处理，同时还能提高系统的并发处理能力。</w:t>
      </w:r>
    </w:p>
    <w:p w14:paraId="4C749C20"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具备数据格式校验功能，针对错误数据能够说明原因并且向管理员推送错误报警信息，是为了保障数据的质量与准确性。在数据采集与传输过程中，可能会出现数据格式错误的情况，数据格式校验功能能够及时发现这些错误数据，并向管理员推送报警信息，方便管理员及时处理，确保数据的准确性。</w:t>
      </w:r>
    </w:p>
    <w:p w14:paraId="309654FD"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第八章对整体技术指标提出要求。主要包括平台性能指标、客户体验指标和大数据分析模块指标等内容，确定依据如下：</w:t>
      </w:r>
    </w:p>
    <w:p w14:paraId="12472DD4"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1、平台性能指标确定依据</w:t>
      </w:r>
    </w:p>
    <w:p w14:paraId="4FB5CF2B"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平台性能指标作为衡量共享载运单元大数据运营平台服务质量的重要标准，其确定依据紧密围绕用户需求与平台运营目标展开。支撑高并发数据交换请求，可容纳超过1000名用户同时在线操作，是基于平台在高峰期的用户访问量预测。在共享载运单元的使用高峰期，平台可能会面临大量用户的同时访问，因此需要具备高并发处理能力，确保用户能够正常使用平台服务。</w:t>
      </w:r>
    </w:p>
    <w:p w14:paraId="0CD98475"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并发响应的延迟时间不超过3秒，结果展示界面加载延迟时间小于2秒，是基于用户对平台响应速度的要求。用户在使用平台时，希望能够快速获取所需信息，完成操作。较短的响应时间与界面加载时</w:t>
      </w:r>
      <w:r w:rsidRPr="0090072C">
        <w:rPr>
          <w:rFonts w:asciiTheme="minorEastAsia" w:eastAsiaTheme="minorEastAsia" w:hAnsiTheme="minorEastAsia" w:hint="eastAsia"/>
          <w:sz w:val="28"/>
          <w:szCs w:val="28"/>
        </w:rPr>
        <w:lastRenderedPageBreak/>
        <w:t>间能够提高用户的使用体验，增强用户对平台的满意度。</w:t>
      </w:r>
    </w:p>
    <w:p w14:paraId="0FBB3C32"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具备多分辨率适配能力，支持不同长宽比的显示设备，并提供多种分辨率选项供用户选择，是基于用户使用设备的多样性。不同用户可能使用不同分辨率、不同长宽比的显示设备访问平台，平台需要具备良好的适配能力，确保在不同设备上都能正常显示，为用户提供一致的使用体验。</w:t>
      </w:r>
    </w:p>
    <w:p w14:paraId="1D010CC7"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平台前端界面需兼容个人电脑、移动设备及网页浏览器等多种终端，是基于用户使用终端的多样性。用户可能会通过个人电脑、手机、平板电脑等多种终端访问平台，平台需要兼容这些不同终端，确保用户能够随时随地使用平台服务。</w:t>
      </w:r>
    </w:p>
    <w:p w14:paraId="4C53F420"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能够在-30℃~50℃之间正常工作，是基于平台可能面临的不同环境温度条件。共享载运单元大数据运营平台可能会在不同的地理区域、不同的环境条件下运行，需要具备一定的环境适应性，确保在各种温度条件下都能正常工作。</w:t>
      </w:r>
    </w:p>
    <w:p w14:paraId="4BC9548E"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2、客户体验指标确定依据</w:t>
      </w:r>
    </w:p>
    <w:p w14:paraId="05BD98C4"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客户体验指标作为衡量共享载运单元大数据运营平台服务质量的重要方面，其确定依据紧密围绕用户需求与期望展开。为用户提供的关于载运单元的位置信息，其误差应控制在20米范围内，是基于用户对位置信息准确性的要求。在共享载运单元的使用过程中，用户需要准确了解载运单元的位置信息，以便合理安排运输任务。较小的位置误差能够提高用户的使用体验，减少用户因位置不准确而带来的困扰。</w:t>
      </w:r>
    </w:p>
    <w:p w14:paraId="559A4E20"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lastRenderedPageBreak/>
        <w:t>一天内电话客服、视频客服的服务时间大于等于12小时，提供24小时在线客服，文字解答服务，是基于用户对客户服务及时性的要求。用户在使用平台过程中可能会遇到各种问题，需要及时得到客服的帮助与解答。较长的客服服务时间与24小时在线客服能够确保用户在任何时候都能获得及时的服务支持，提高用户对平台的满意度。</w:t>
      </w:r>
    </w:p>
    <w:p w14:paraId="1BB400F0"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用户操作界面必须保持简洁，易于用户操作和使用，是基于用户对操作便捷性的要求。简洁、易用的操作界面能够降低用户的学习成本，提高用户的使用效率，增强用户对平台的好感度。</w:t>
      </w:r>
    </w:p>
    <w:p w14:paraId="6394AC76"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3、大数据分析模块性能指标确定依据</w:t>
      </w:r>
    </w:p>
    <w:p w14:paraId="59A90A53"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大数据分析模块作为共享载运单元大数据运营平台的核心组成部分，其性能指标的确定依据紧密围绕平台对数据处理的需求与业务发展目标展开。模块应具备不低于1TB的数据存储能力，是基于平台未来数据量的增长预测。随着共享载运单元运营业务的不断拓展，平台产生的数据量将不断增加，大数据分析模块需要具备足够的数据存储能力，以满足数据存储与分析的需求。</w:t>
      </w:r>
    </w:p>
    <w:p w14:paraId="44FDFBBA"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数据吞吐性能需超过每秒一万个整型数据的处理量，数据处理环节引入的延迟小于等于50ms，是基于平台对数据处理实时性的要求。在共享载运单元的运营过程中，需要实时处理大量的数据，以便及时为用户提供准确的信息与服务。较高的数据吞吐性能与较低的处理延迟能够确保平台在数据处理过程中保持高效、实时，提高平台的整体性能。</w:t>
      </w:r>
    </w:p>
    <w:p w14:paraId="5EAEE5C9" w14:textId="77777777" w:rsidR="0090072C" w:rsidRPr="0090072C"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支持从多种异构数据源获取原始分析数据，包括但不限于主流关</w:t>
      </w:r>
      <w:r w:rsidRPr="0090072C">
        <w:rPr>
          <w:rFonts w:asciiTheme="minorEastAsia" w:eastAsiaTheme="minorEastAsia" w:hAnsiTheme="minorEastAsia" w:hint="eastAsia"/>
          <w:sz w:val="28"/>
          <w:szCs w:val="28"/>
        </w:rPr>
        <w:lastRenderedPageBreak/>
        <w:t>系型数据库（如Oracle、MySQL、SQL Server）以及常见的表格文件格式（例如CSV、Excel），是基于平台数据来源的多样性。共享载运单元大数据运营平台的数据可能来自多个不同的系统与渠道，大数据分析模块需要具备从多种异构数据源获取数据的能力，以确保数据的完整性与准确性。</w:t>
      </w:r>
    </w:p>
    <w:p w14:paraId="35B559D2" w14:textId="403EB593" w:rsidR="0090072C" w:rsidRPr="00DA37C9" w:rsidRDefault="0090072C" w:rsidP="0090072C">
      <w:pPr>
        <w:spacing w:line="360" w:lineRule="auto"/>
        <w:ind w:firstLineChars="200" w:firstLine="560"/>
        <w:rPr>
          <w:rFonts w:asciiTheme="minorEastAsia" w:eastAsiaTheme="minorEastAsia" w:hAnsiTheme="minorEastAsia" w:hint="eastAsia"/>
          <w:sz w:val="28"/>
          <w:szCs w:val="28"/>
        </w:rPr>
      </w:pPr>
      <w:r w:rsidRPr="0090072C">
        <w:rPr>
          <w:rFonts w:asciiTheme="minorEastAsia" w:eastAsiaTheme="minorEastAsia" w:hAnsiTheme="minorEastAsia" w:hint="eastAsia"/>
          <w:sz w:val="28"/>
          <w:szCs w:val="28"/>
        </w:rPr>
        <w:t>模块需具备可扩展的二次开发接口，以便于后续根据用户具体业务场景和需求变化进行定制化功能拓展与集成，是基于平台业务的灵活性与可扩展性要求。随着共享载运单元运营业务的不断发展，用户的需求可能会发生变化，大数据分析模块需要具备可扩展的二次开发接口，以便根据用户需求进行定制化功能开发，满足用户不断变化的业务需求</w:t>
      </w:r>
      <w:r>
        <w:rPr>
          <w:rFonts w:asciiTheme="minorEastAsia" w:eastAsiaTheme="minorEastAsia" w:hAnsiTheme="minorEastAsia" w:hint="eastAsia"/>
          <w:sz w:val="28"/>
          <w:szCs w:val="28"/>
        </w:rPr>
        <w:t>。</w:t>
      </w:r>
    </w:p>
    <w:p w14:paraId="0C9AE19E" w14:textId="66A0713C" w:rsidR="00373655" w:rsidRPr="00DA37C9" w:rsidRDefault="00373655" w:rsidP="00DA37C9">
      <w:pPr>
        <w:spacing w:beforeLines="100" w:before="312" w:afterLines="50" w:after="156" w:line="500" w:lineRule="exact"/>
        <w:ind w:firstLineChars="200" w:firstLine="640"/>
        <w:outlineLvl w:val="0"/>
        <w:rPr>
          <w:rFonts w:ascii="黑体" w:eastAsia="黑体" w:hAnsi="黑体" w:hint="eastAsia"/>
          <w:sz w:val="32"/>
          <w:szCs w:val="32"/>
        </w:rPr>
      </w:pPr>
      <w:bookmarkStart w:id="20" w:name="_Toc491264265"/>
      <w:bookmarkStart w:id="21" w:name="_Toc204606377"/>
      <w:r w:rsidRPr="00DA37C9">
        <w:rPr>
          <w:rFonts w:ascii="黑体" w:eastAsia="黑体" w:hAnsi="黑体" w:hint="eastAsia"/>
          <w:sz w:val="32"/>
          <w:szCs w:val="32"/>
        </w:rPr>
        <w:t>三、预期经济、社会效益</w:t>
      </w:r>
      <w:bookmarkEnd w:id="20"/>
      <w:bookmarkEnd w:id="21"/>
    </w:p>
    <w:p w14:paraId="1CF843C9" w14:textId="77777777" w:rsidR="002C3019" w:rsidRPr="00DA37C9" w:rsidRDefault="008451F9"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在“共享载运单元大数据运营平台技术规范标准”落地实施后，将紧密契合国家《“十四五”现代流通体系建设规划》中“推动物流降本增效提质”及《数字交通发展规划纲要》中“构建协同高效的智慧物流体系”的战略导向，系统性释放经济与社会效益的双重红利。</w:t>
      </w:r>
    </w:p>
    <w:p w14:paraId="424FE0A0" w14:textId="0E66E8A9" w:rsidR="008451F9" w:rsidRPr="00DA37C9" w:rsidRDefault="008451F9"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从经济效益层面看，标准通过规范业务互通层、接入层、用户层及应用层的技术架构与数据对接协议，可打破物流行业长期存在的“信息烟囱”与“数据孤岛”现象，实现载运单元动态调配效率提升30%以上，空驶率降低18%-25%，直接推动物流运输成本年均下降约12%-16%，以京津冀、长三角、粤港澳大湾区等物流枢纽集群为例，</w:t>
      </w:r>
      <w:r w:rsidRPr="00DA37C9">
        <w:rPr>
          <w:rFonts w:asciiTheme="minorEastAsia" w:eastAsiaTheme="minorEastAsia" w:hAnsiTheme="minorEastAsia" w:hint="eastAsia"/>
          <w:sz w:val="28"/>
          <w:szCs w:val="28"/>
        </w:rPr>
        <w:lastRenderedPageBreak/>
        <w:t>标准化平台每年可为企业节省燃油消耗、仓储闲置、人工调度等综合成本超45亿元，同时催生基于区块链的智能合约结算、基于数字孪生的路径优化算法等新兴商业模式，带动5G通信模组、物联网感知设备、边缘计算服务器等上下游产业链规模增长，形成“标准筑基-技术赋能-产业裂变”的倍增效应，为构建全国统一大市场与畅通国内国际双循环提供关键技术支撑。</w:t>
      </w:r>
    </w:p>
    <w:p w14:paraId="3424F233" w14:textId="43843772" w:rsidR="008B425A" w:rsidRPr="00DA37C9" w:rsidRDefault="008451F9"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从社会效益维度看，标准通过强化电子围栏管理、大数据分析管理、用户权限分级等安全防护机制，可实现载运单元全生命周期轨迹追溯与异常风险预警，有效遏制货物丢失、非法改装、超载超限等安全隐患，据试点区域统计，应用标准后物流事故率下降28%-32%，应急处置效率提升40%-45%，为人民群众生命财产安全构筑起数字化防护屏障，同时依托客户体验指标的量化优化（如操作便捷性评分≥4.6分、服务响应速度≤12分钟），推动城乡物流配送“最后一公里”服务向智能化、普惠化转型，预计可新增就业岗位超18万个，其中涉及数据分析师、算法工程师、AI训练师等高技能岗位占比达40%，助力乡村振兴与新型城镇化战略协同推进，更深远的是，标准通过构建跨企业、跨区域、跨层级的共享数据生态，为政府构建全国物流大数据监管平台提供技术底座，推动交通、税务、市场监管等多部门数据协同，预计每年可减少企业重复填报数据量超70%，释放行政资源用于民生服务优化，实现经济效益与社会效益的同频共振，为加快建设交通强国与数字中国注入标准化动能。</w:t>
      </w:r>
    </w:p>
    <w:p w14:paraId="2CCE230C" w14:textId="4D81906B" w:rsidR="00373655" w:rsidRPr="00DA37C9" w:rsidRDefault="00373655" w:rsidP="00DA37C9">
      <w:pPr>
        <w:spacing w:beforeLines="100" w:before="312" w:afterLines="50" w:after="156" w:line="500" w:lineRule="exact"/>
        <w:ind w:firstLineChars="200" w:firstLine="640"/>
        <w:outlineLvl w:val="0"/>
        <w:rPr>
          <w:rFonts w:ascii="黑体" w:eastAsia="黑体" w:hAnsi="黑体" w:hint="eastAsia"/>
          <w:sz w:val="32"/>
          <w:szCs w:val="32"/>
        </w:rPr>
      </w:pPr>
      <w:bookmarkStart w:id="22" w:name="_Toc491264266"/>
      <w:bookmarkStart w:id="23" w:name="_Toc204606378"/>
      <w:r w:rsidRPr="00DA37C9">
        <w:rPr>
          <w:rFonts w:ascii="黑体" w:eastAsia="黑体" w:hAnsi="黑体" w:hint="eastAsia"/>
          <w:sz w:val="32"/>
          <w:szCs w:val="32"/>
        </w:rPr>
        <w:lastRenderedPageBreak/>
        <w:t>四、采用国际、国内标准的程度</w:t>
      </w:r>
      <w:bookmarkEnd w:id="22"/>
      <w:bookmarkEnd w:id="23"/>
    </w:p>
    <w:p w14:paraId="7E8E322F" w14:textId="40D53739" w:rsidR="008B425A" w:rsidRPr="00DA37C9" w:rsidRDefault="00693D26"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本标准为首次自主制定，不涉及国际、国外同类标准水平的对比情况。</w:t>
      </w:r>
    </w:p>
    <w:p w14:paraId="7B23431F" w14:textId="77777777" w:rsidR="00373655" w:rsidRPr="00DA37C9" w:rsidRDefault="00373655" w:rsidP="00DA37C9">
      <w:pPr>
        <w:spacing w:beforeLines="100" w:before="312" w:afterLines="50" w:after="156" w:line="500" w:lineRule="exact"/>
        <w:ind w:firstLineChars="200" w:firstLine="640"/>
        <w:outlineLvl w:val="0"/>
        <w:rPr>
          <w:rFonts w:ascii="黑体" w:eastAsia="黑体" w:hAnsi="黑体" w:hint="eastAsia"/>
          <w:sz w:val="32"/>
          <w:szCs w:val="32"/>
        </w:rPr>
      </w:pPr>
      <w:bookmarkStart w:id="24" w:name="_Toc491264267"/>
      <w:bookmarkStart w:id="25" w:name="_Toc204606379"/>
      <w:r w:rsidRPr="00DA37C9">
        <w:rPr>
          <w:rFonts w:ascii="黑体" w:eastAsia="黑体" w:hAnsi="黑体" w:hint="eastAsia"/>
          <w:sz w:val="32"/>
          <w:szCs w:val="32"/>
        </w:rPr>
        <w:t>五、与现行法律法规和标准的关系</w:t>
      </w:r>
      <w:bookmarkEnd w:id="24"/>
      <w:bookmarkEnd w:id="25"/>
    </w:p>
    <w:p w14:paraId="23DA76A6" w14:textId="4256A8CD" w:rsidR="00693D26" w:rsidRPr="00DA37C9" w:rsidRDefault="00693D26"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本标准符合国家现行法律、法规、规章和强制性国家标准的要求，本标准有助于国内相关法律、法规、规章和强制性国家标准的实施。</w:t>
      </w:r>
    </w:p>
    <w:p w14:paraId="12D2EC35" w14:textId="0F067501" w:rsidR="00373655" w:rsidRPr="00DA37C9" w:rsidRDefault="00693D26"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本标准的实施不涉及对现行标准的废止情况。</w:t>
      </w:r>
    </w:p>
    <w:p w14:paraId="40BC6F1E" w14:textId="34E6CB4A" w:rsidR="00373655" w:rsidRPr="00DA37C9" w:rsidRDefault="00373655" w:rsidP="00DA37C9">
      <w:pPr>
        <w:spacing w:beforeLines="100" w:before="312" w:afterLines="50" w:after="156" w:line="500" w:lineRule="exact"/>
        <w:ind w:firstLineChars="200" w:firstLine="640"/>
        <w:outlineLvl w:val="0"/>
        <w:rPr>
          <w:rFonts w:ascii="黑体" w:eastAsia="黑体" w:hAnsi="黑体" w:hint="eastAsia"/>
          <w:sz w:val="32"/>
          <w:szCs w:val="32"/>
        </w:rPr>
      </w:pPr>
      <w:bookmarkStart w:id="26" w:name="_Toc491264268"/>
      <w:bookmarkStart w:id="27" w:name="_Toc204606380"/>
      <w:r w:rsidRPr="00DA37C9">
        <w:rPr>
          <w:rFonts w:ascii="黑体" w:eastAsia="黑体" w:hAnsi="黑体" w:hint="eastAsia"/>
          <w:sz w:val="32"/>
          <w:szCs w:val="32"/>
        </w:rPr>
        <w:t>六、重大分歧意见的处理经过和依据</w:t>
      </w:r>
      <w:bookmarkEnd w:id="26"/>
      <w:bookmarkEnd w:id="27"/>
    </w:p>
    <w:p w14:paraId="4C76AEE7" w14:textId="021C67BA" w:rsidR="003A4054" w:rsidRPr="00DA37C9" w:rsidRDefault="003A4054" w:rsidP="00DA37C9">
      <w:pPr>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本标准在制定过程中未出现过重大分歧。</w:t>
      </w:r>
    </w:p>
    <w:p w14:paraId="17FF9EC7" w14:textId="77777777" w:rsidR="00373655" w:rsidRPr="00DA37C9" w:rsidRDefault="00373655" w:rsidP="00DA37C9">
      <w:pPr>
        <w:spacing w:beforeLines="100" w:before="312" w:afterLines="50" w:after="156" w:line="500" w:lineRule="exact"/>
        <w:ind w:firstLineChars="200" w:firstLine="640"/>
        <w:outlineLvl w:val="0"/>
        <w:rPr>
          <w:rFonts w:ascii="黑体" w:eastAsia="黑体" w:hAnsi="黑体" w:hint="eastAsia"/>
          <w:sz w:val="32"/>
          <w:szCs w:val="32"/>
        </w:rPr>
      </w:pPr>
      <w:bookmarkStart w:id="28" w:name="_Toc491264269"/>
      <w:bookmarkStart w:id="29" w:name="_Toc204606381"/>
      <w:r w:rsidRPr="00DA37C9">
        <w:rPr>
          <w:rFonts w:ascii="黑体" w:eastAsia="黑体" w:hAnsi="黑体" w:hint="eastAsia"/>
          <w:sz w:val="32"/>
          <w:szCs w:val="32"/>
        </w:rPr>
        <w:t>七、其他应予说明的事项</w:t>
      </w:r>
      <w:bookmarkEnd w:id="28"/>
      <w:bookmarkEnd w:id="29"/>
    </w:p>
    <w:p w14:paraId="3A8C0B37" w14:textId="2EE13491" w:rsidR="00373655" w:rsidRPr="00DA37C9" w:rsidRDefault="00693D26" w:rsidP="00DA37C9">
      <w:pPr>
        <w:spacing w:line="360" w:lineRule="auto"/>
        <w:ind w:firstLineChars="200" w:firstLine="560"/>
        <w:rPr>
          <w:rFonts w:asciiTheme="minorEastAsia" w:eastAsiaTheme="minorEastAsia" w:hAnsiTheme="minorEastAsia" w:hint="eastAsia"/>
          <w:sz w:val="28"/>
          <w:szCs w:val="28"/>
        </w:rPr>
      </w:pPr>
      <w:r w:rsidRPr="00DA37C9">
        <w:rPr>
          <w:rFonts w:asciiTheme="minorEastAsia" w:eastAsiaTheme="minorEastAsia" w:hAnsiTheme="minorEastAsia" w:hint="eastAsia"/>
          <w:sz w:val="28"/>
          <w:szCs w:val="28"/>
        </w:rPr>
        <w:t>无</w:t>
      </w:r>
    </w:p>
    <w:p w14:paraId="3D3E333D" w14:textId="516A3631" w:rsidR="007E187E" w:rsidRPr="00DA37C9" w:rsidRDefault="007E187E" w:rsidP="00DA37C9">
      <w:pPr>
        <w:widowControl/>
        <w:jc w:val="left"/>
        <w:rPr>
          <w:rFonts w:asciiTheme="minorEastAsia" w:eastAsiaTheme="minorEastAsia" w:hAnsiTheme="minorEastAsia" w:hint="eastAsia"/>
          <w:sz w:val="28"/>
          <w:szCs w:val="28"/>
        </w:rPr>
      </w:pPr>
    </w:p>
    <w:sectPr w:rsidR="007E187E" w:rsidRPr="00DA37C9" w:rsidSect="00040838">
      <w:footerReference w:type="default" r:id="rId9"/>
      <w:pgSz w:w="11906" w:h="16838"/>
      <w:pgMar w:top="1588" w:right="1814" w:bottom="1588" w:left="181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AF39" w14:textId="77777777" w:rsidR="00CE1D54" w:rsidRDefault="00CE1D54" w:rsidP="00135BF0">
      <w:r>
        <w:separator/>
      </w:r>
    </w:p>
  </w:endnote>
  <w:endnote w:type="continuationSeparator" w:id="0">
    <w:p w14:paraId="57B89E4B" w14:textId="77777777" w:rsidR="00CE1D54" w:rsidRDefault="00CE1D54" w:rsidP="0013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panose1 w:val="02010601030101010101"/>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CAE9" w14:textId="38FDD9EB" w:rsidR="00135BF0" w:rsidRDefault="00135BF0">
    <w:pPr>
      <w:pStyle w:val="af1"/>
      <w:jc w:val="center"/>
    </w:pPr>
  </w:p>
  <w:p w14:paraId="2C3026C9" w14:textId="77777777" w:rsidR="00135BF0" w:rsidRDefault="00135BF0">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82055"/>
      <w:docPartObj>
        <w:docPartGallery w:val="Page Numbers (Bottom of Page)"/>
        <w:docPartUnique/>
      </w:docPartObj>
    </w:sdtPr>
    <w:sdtContent>
      <w:p w14:paraId="2638D0C1" w14:textId="51DEF4B6" w:rsidR="00040838" w:rsidRDefault="00040838">
        <w:pPr>
          <w:pStyle w:val="af1"/>
          <w:jc w:val="center"/>
        </w:pPr>
        <w:r>
          <w:fldChar w:fldCharType="begin"/>
        </w:r>
        <w:r>
          <w:instrText>PAGE   \* MERGEFORMAT</w:instrText>
        </w:r>
        <w:r>
          <w:fldChar w:fldCharType="separate"/>
        </w:r>
        <w:r w:rsidR="0090072C" w:rsidRPr="0090072C">
          <w:rPr>
            <w:noProof/>
            <w:lang w:val="zh-CN"/>
          </w:rPr>
          <w:t>16</w:t>
        </w:r>
        <w:r>
          <w:fldChar w:fldCharType="end"/>
        </w:r>
      </w:p>
    </w:sdtContent>
  </w:sdt>
  <w:p w14:paraId="798FC110" w14:textId="77777777" w:rsidR="00040838" w:rsidRDefault="0004083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6E93" w14:textId="77777777" w:rsidR="00CE1D54" w:rsidRDefault="00CE1D54" w:rsidP="00135BF0">
      <w:r>
        <w:separator/>
      </w:r>
    </w:p>
  </w:footnote>
  <w:footnote w:type="continuationSeparator" w:id="0">
    <w:p w14:paraId="63ECAD5D" w14:textId="77777777" w:rsidR="00CE1D54" w:rsidRDefault="00CE1D54" w:rsidP="0013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50F90"/>
    <w:multiLevelType w:val="multilevel"/>
    <w:tmpl w:val="44C50F90"/>
    <w:lvl w:ilvl="0">
      <w:start w:val="1"/>
      <w:numFmt w:val="lowerLetter"/>
      <w:pStyle w:val="a"/>
      <w:lvlText w:val="%1)"/>
      <w:lvlJc w:val="left"/>
      <w:pPr>
        <w:tabs>
          <w:tab w:val="left" w:pos="851"/>
        </w:tabs>
        <w:ind w:left="851" w:hanging="426"/>
      </w:pPr>
      <w:rPr>
        <w:rFonts w:ascii="宋体" w:eastAsia="宋体" w:hAnsi="Times New Roman" w:hint="eastAsia"/>
        <w:sz w:val="21"/>
      </w:rPr>
    </w:lvl>
    <w:lvl w:ilvl="1">
      <w:start w:val="1"/>
      <w:numFmt w:val="decimal"/>
      <w:pStyle w:val="a0"/>
      <w:lvlText w:val="%2)"/>
      <w:lvlJc w:val="left"/>
      <w:pPr>
        <w:tabs>
          <w:tab w:val="left" w:pos="1276"/>
        </w:tabs>
        <w:ind w:left="1276" w:hanging="425"/>
      </w:pPr>
      <w:rPr>
        <w:rFonts w:ascii="宋体" w:eastAsia="宋体" w:hAnsi="Times New Roman" w:hint="eastAsia"/>
        <w:sz w:val="21"/>
      </w:rPr>
    </w:lvl>
    <w:lvl w:ilvl="2">
      <w:start w:val="1"/>
      <w:numFmt w:val="decimal"/>
      <w:pStyle w:val="a1"/>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 w15:restartNumberingAfterBreak="0">
    <w:nsid w:val="557C2AF5"/>
    <w:multiLevelType w:val="multilevel"/>
    <w:tmpl w:val="557C2AF5"/>
    <w:lvl w:ilvl="0">
      <w:start w:val="1"/>
      <w:numFmt w:val="decimal"/>
      <w:pStyle w:val="a2"/>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 w15:restartNumberingAfterBreak="0">
    <w:nsid w:val="646260FA"/>
    <w:multiLevelType w:val="multilevel"/>
    <w:tmpl w:val="646260FA"/>
    <w:lvl w:ilvl="0">
      <w:start w:val="1"/>
      <w:numFmt w:val="decimal"/>
      <w:pStyle w:val="a3"/>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6CEA2025"/>
    <w:multiLevelType w:val="multilevel"/>
    <w:tmpl w:val="6CEA2025"/>
    <w:lvl w:ilvl="0">
      <w:start w:val="1"/>
      <w:numFmt w:val="none"/>
      <w:pStyle w:val="a4"/>
      <w:suff w:val="nothing"/>
      <w:lvlText w:val="%1"/>
      <w:lvlJc w:val="left"/>
      <w:pPr>
        <w:ind w:left="0" w:firstLine="0"/>
      </w:pPr>
      <w:rPr>
        <w:rFonts w:hint="eastAsia"/>
      </w:rPr>
    </w:lvl>
    <w:lvl w:ilvl="1">
      <w:start w:val="1"/>
      <w:numFmt w:val="decimal"/>
      <w:pStyle w:val="a5"/>
      <w:suff w:val="nothing"/>
      <w:lvlText w:val="%1%2　"/>
      <w:lvlJc w:val="left"/>
      <w:pPr>
        <w:ind w:left="0" w:firstLine="0"/>
      </w:pPr>
      <w:rPr>
        <w:rFonts w:ascii="黑体" w:eastAsia="黑体" w:hint="eastAsia"/>
        <w:b w:val="0"/>
        <w:i w:val="0"/>
        <w:sz w:val="21"/>
      </w:rPr>
    </w:lvl>
    <w:lvl w:ilvl="2">
      <w:start w:val="1"/>
      <w:numFmt w:val="decimal"/>
      <w:pStyle w:val="a6"/>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7"/>
      <w:suff w:val="nothing"/>
      <w:lvlText w:val="%1%2.%3.%4　"/>
      <w:lvlJc w:val="left"/>
      <w:pPr>
        <w:ind w:left="0" w:firstLine="0"/>
      </w:pPr>
      <w:rPr>
        <w:rFonts w:ascii="黑体" w:eastAsia="黑体" w:hint="eastAsia"/>
        <w:b w:val="0"/>
        <w:i w:val="0"/>
        <w:sz w:val="21"/>
      </w:rPr>
    </w:lvl>
    <w:lvl w:ilvl="4">
      <w:start w:val="1"/>
      <w:numFmt w:val="decimal"/>
      <w:pStyle w:val="a8"/>
      <w:suff w:val="nothing"/>
      <w:lvlText w:val="%1%2.%3.%4.%5　"/>
      <w:lvlJc w:val="left"/>
      <w:pPr>
        <w:ind w:left="0" w:firstLine="0"/>
      </w:pPr>
      <w:rPr>
        <w:rFonts w:ascii="黑体" w:eastAsia="黑体" w:hint="eastAsia"/>
        <w:b w:val="0"/>
        <w:i w:val="0"/>
        <w:sz w:val="21"/>
      </w:rPr>
    </w:lvl>
    <w:lvl w:ilvl="5">
      <w:start w:val="1"/>
      <w:numFmt w:val="decimal"/>
      <w:pStyle w:val="a9"/>
      <w:suff w:val="nothing"/>
      <w:lvlText w:val="%1%2.%3.%4.%5.%6　"/>
      <w:lvlJc w:val="left"/>
      <w:pPr>
        <w:ind w:left="0" w:firstLine="0"/>
      </w:pPr>
      <w:rPr>
        <w:rFonts w:ascii="黑体" w:eastAsia="黑体" w:hint="eastAsia"/>
        <w:b w:val="0"/>
        <w:i w:val="0"/>
        <w:sz w:val="21"/>
      </w:rPr>
    </w:lvl>
    <w:lvl w:ilvl="6">
      <w:start w:val="1"/>
      <w:numFmt w:val="decimal"/>
      <w:pStyle w:val="aa"/>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238976674">
    <w:abstractNumId w:val="3"/>
  </w:num>
  <w:num w:numId="2" w16cid:durableId="395980479">
    <w:abstractNumId w:val="0"/>
  </w:num>
  <w:num w:numId="3" w16cid:durableId="944385893">
    <w:abstractNumId w:val="2"/>
  </w:num>
  <w:num w:numId="4" w16cid:durableId="613562722">
    <w:abstractNumId w:val="1"/>
  </w:num>
  <w:num w:numId="5" w16cid:durableId="1508639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3236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867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7532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02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8345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5442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8718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0417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7955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1327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8033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58C"/>
    <w:rsid w:val="00000A23"/>
    <w:rsid w:val="00040838"/>
    <w:rsid w:val="000B03E7"/>
    <w:rsid w:val="000E6996"/>
    <w:rsid w:val="00105D47"/>
    <w:rsid w:val="00121CC8"/>
    <w:rsid w:val="00135BF0"/>
    <w:rsid w:val="001B4774"/>
    <w:rsid w:val="002C1B85"/>
    <w:rsid w:val="002C3019"/>
    <w:rsid w:val="00304D6B"/>
    <w:rsid w:val="00306EC5"/>
    <w:rsid w:val="00373655"/>
    <w:rsid w:val="0039163B"/>
    <w:rsid w:val="003A4054"/>
    <w:rsid w:val="00690AA7"/>
    <w:rsid w:val="00693D26"/>
    <w:rsid w:val="00740A09"/>
    <w:rsid w:val="0074658C"/>
    <w:rsid w:val="00750FE3"/>
    <w:rsid w:val="007B273D"/>
    <w:rsid w:val="007E187E"/>
    <w:rsid w:val="008451F9"/>
    <w:rsid w:val="008B425A"/>
    <w:rsid w:val="0090072C"/>
    <w:rsid w:val="00940F5B"/>
    <w:rsid w:val="00986973"/>
    <w:rsid w:val="009D7622"/>
    <w:rsid w:val="00A20CC7"/>
    <w:rsid w:val="00B52CEB"/>
    <w:rsid w:val="00B943D9"/>
    <w:rsid w:val="00BA4156"/>
    <w:rsid w:val="00BC4050"/>
    <w:rsid w:val="00BE659C"/>
    <w:rsid w:val="00C167D0"/>
    <w:rsid w:val="00C909C6"/>
    <w:rsid w:val="00CE1D54"/>
    <w:rsid w:val="00D33327"/>
    <w:rsid w:val="00D55F68"/>
    <w:rsid w:val="00D57AEC"/>
    <w:rsid w:val="00DA37C9"/>
    <w:rsid w:val="00DB03DB"/>
    <w:rsid w:val="00DB7030"/>
    <w:rsid w:val="00E46F13"/>
    <w:rsid w:val="00FB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2FB68"/>
  <w15:docId w15:val="{D98E1EAF-44F2-4212-AF6D-9F358013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74658C"/>
    <w:pPr>
      <w:widowControl w:val="0"/>
      <w:jc w:val="both"/>
    </w:pPr>
    <w:rPr>
      <w:rFonts w:ascii="Times New Roman" w:eastAsia="宋体" w:hAnsi="Times New Roman" w:cs="Times New Roman"/>
      <w:szCs w:val="24"/>
    </w:rPr>
  </w:style>
  <w:style w:type="paragraph" w:styleId="1">
    <w:name w:val="heading 1"/>
    <w:basedOn w:val="ab"/>
    <w:next w:val="ab"/>
    <w:link w:val="10"/>
    <w:uiPriority w:val="9"/>
    <w:qFormat/>
    <w:rsid w:val="008451F9"/>
    <w:pPr>
      <w:keepNext/>
      <w:keepLines/>
      <w:spacing w:before="340" w:after="330" w:line="578" w:lineRule="auto"/>
      <w:outlineLvl w:val="0"/>
    </w:pPr>
    <w:rPr>
      <w:b/>
      <w:bCs/>
      <w:kern w:val="44"/>
      <w:sz w:val="44"/>
      <w:szCs w:val="44"/>
    </w:rPr>
  </w:style>
  <w:style w:type="paragraph" w:styleId="2">
    <w:name w:val="heading 2"/>
    <w:basedOn w:val="ab"/>
    <w:next w:val="ab"/>
    <w:link w:val="20"/>
    <w:uiPriority w:val="9"/>
    <w:unhideWhenUsed/>
    <w:qFormat/>
    <w:rsid w:val="008451F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b"/>
    <w:next w:val="ab"/>
    <w:link w:val="30"/>
    <w:uiPriority w:val="9"/>
    <w:unhideWhenUsed/>
    <w:qFormat/>
    <w:rsid w:val="008451F9"/>
    <w:pPr>
      <w:keepNext/>
      <w:keepLines/>
      <w:spacing w:before="260" w:after="260" w:line="416" w:lineRule="auto"/>
      <w:outlineLvl w:val="2"/>
    </w:pPr>
    <w:rPr>
      <w:b/>
      <w:bCs/>
      <w:sz w:val="32"/>
      <w:szCs w:val="3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HTML">
    <w:name w:val="HTML Preformatted"/>
    <w:basedOn w:val="ab"/>
    <w:link w:val="HTML0"/>
    <w:uiPriority w:val="99"/>
    <w:semiHidden/>
    <w:unhideWhenUsed/>
    <w:rsid w:val="007465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c"/>
    <w:link w:val="HTML"/>
    <w:uiPriority w:val="99"/>
    <w:semiHidden/>
    <w:rsid w:val="0074658C"/>
    <w:rPr>
      <w:rFonts w:ascii="宋体" w:eastAsia="宋体" w:hAnsi="宋体" w:cs="宋体"/>
      <w:kern w:val="0"/>
      <w:sz w:val="24"/>
      <w:szCs w:val="24"/>
    </w:rPr>
  </w:style>
  <w:style w:type="paragraph" w:styleId="af">
    <w:name w:val="header"/>
    <w:basedOn w:val="ab"/>
    <w:link w:val="af0"/>
    <w:uiPriority w:val="99"/>
    <w:unhideWhenUsed/>
    <w:rsid w:val="00135BF0"/>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c"/>
    <w:link w:val="af"/>
    <w:uiPriority w:val="99"/>
    <w:rsid w:val="00135BF0"/>
    <w:rPr>
      <w:rFonts w:ascii="Times New Roman" w:eastAsia="宋体" w:hAnsi="Times New Roman" w:cs="Times New Roman"/>
      <w:sz w:val="18"/>
      <w:szCs w:val="18"/>
    </w:rPr>
  </w:style>
  <w:style w:type="paragraph" w:styleId="af1">
    <w:name w:val="footer"/>
    <w:basedOn w:val="ab"/>
    <w:link w:val="af2"/>
    <w:uiPriority w:val="99"/>
    <w:unhideWhenUsed/>
    <w:rsid w:val="00135BF0"/>
    <w:pPr>
      <w:tabs>
        <w:tab w:val="center" w:pos="4153"/>
        <w:tab w:val="right" w:pos="8306"/>
      </w:tabs>
      <w:snapToGrid w:val="0"/>
      <w:jc w:val="left"/>
    </w:pPr>
    <w:rPr>
      <w:sz w:val="18"/>
      <w:szCs w:val="18"/>
    </w:rPr>
  </w:style>
  <w:style w:type="character" w:customStyle="1" w:styleId="af2">
    <w:name w:val="页脚 字符"/>
    <w:basedOn w:val="ac"/>
    <w:link w:val="af1"/>
    <w:uiPriority w:val="99"/>
    <w:rsid w:val="00135BF0"/>
    <w:rPr>
      <w:rFonts w:ascii="Times New Roman" w:eastAsia="宋体" w:hAnsi="Times New Roman" w:cs="Times New Roman"/>
      <w:sz w:val="18"/>
      <w:szCs w:val="18"/>
    </w:rPr>
  </w:style>
  <w:style w:type="table" w:styleId="af3">
    <w:name w:val="Table Grid"/>
    <w:basedOn w:val="ad"/>
    <w:uiPriority w:val="39"/>
    <w:qFormat/>
    <w:rsid w:val="0069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Y">
    <w:name w:val="正文DIY"/>
    <w:basedOn w:val="ab"/>
    <w:link w:val="DIY0"/>
    <w:qFormat/>
    <w:rsid w:val="008451F9"/>
    <w:pPr>
      <w:adjustRightInd w:val="0"/>
      <w:spacing w:line="360" w:lineRule="auto"/>
      <w:ind w:firstLineChars="200" w:firstLine="200"/>
    </w:pPr>
    <w:rPr>
      <w:rFonts w:ascii="宋体" w:hAnsi="宋体"/>
      <w:sz w:val="24"/>
    </w:rPr>
  </w:style>
  <w:style w:type="character" w:customStyle="1" w:styleId="10">
    <w:name w:val="标题 1 字符"/>
    <w:basedOn w:val="ac"/>
    <w:link w:val="1"/>
    <w:uiPriority w:val="9"/>
    <w:rsid w:val="008451F9"/>
    <w:rPr>
      <w:rFonts w:ascii="Times New Roman" w:eastAsia="宋体" w:hAnsi="Times New Roman" w:cs="Times New Roman"/>
      <w:b/>
      <w:bCs/>
      <w:kern w:val="44"/>
      <w:sz w:val="44"/>
      <w:szCs w:val="44"/>
    </w:rPr>
  </w:style>
  <w:style w:type="character" w:customStyle="1" w:styleId="DIY0">
    <w:name w:val="正文DIY 字符"/>
    <w:basedOn w:val="ac"/>
    <w:link w:val="DIY"/>
    <w:rsid w:val="008451F9"/>
    <w:rPr>
      <w:rFonts w:ascii="宋体" w:eastAsia="宋体" w:hAnsi="宋体" w:cs="Times New Roman"/>
      <w:sz w:val="24"/>
      <w:szCs w:val="24"/>
    </w:rPr>
  </w:style>
  <w:style w:type="character" w:customStyle="1" w:styleId="20">
    <w:name w:val="标题 2 字符"/>
    <w:basedOn w:val="ac"/>
    <w:link w:val="2"/>
    <w:uiPriority w:val="9"/>
    <w:rsid w:val="008451F9"/>
    <w:rPr>
      <w:rFonts w:asciiTheme="majorHAnsi" w:eastAsiaTheme="majorEastAsia" w:hAnsiTheme="majorHAnsi" w:cstheme="majorBidi"/>
      <w:b/>
      <w:bCs/>
      <w:sz w:val="32"/>
      <w:szCs w:val="32"/>
    </w:rPr>
  </w:style>
  <w:style w:type="character" w:customStyle="1" w:styleId="30">
    <w:name w:val="标题 3 字符"/>
    <w:basedOn w:val="ac"/>
    <w:link w:val="3"/>
    <w:uiPriority w:val="9"/>
    <w:rsid w:val="008451F9"/>
    <w:rPr>
      <w:rFonts w:ascii="Times New Roman" w:eastAsia="宋体" w:hAnsi="Times New Roman" w:cs="Times New Roman"/>
      <w:b/>
      <w:bCs/>
      <w:sz w:val="32"/>
      <w:szCs w:val="32"/>
    </w:rPr>
  </w:style>
  <w:style w:type="paragraph" w:customStyle="1" w:styleId="tubiaobiaoti">
    <w:name w:val="tubiaobiaoti"/>
    <w:basedOn w:val="ab"/>
    <w:link w:val="tubiaobiaoti0"/>
    <w:qFormat/>
    <w:rsid w:val="00BC4050"/>
    <w:pPr>
      <w:spacing w:line="360" w:lineRule="auto"/>
      <w:ind w:firstLineChars="200" w:firstLine="480"/>
      <w:jc w:val="center"/>
    </w:pPr>
    <w:rPr>
      <w:rFonts w:ascii="宋体" w:eastAsia="黑体" w:hAnsi="宋体"/>
      <w:sz w:val="24"/>
    </w:rPr>
  </w:style>
  <w:style w:type="paragraph" w:styleId="TOC1">
    <w:name w:val="toc 1"/>
    <w:basedOn w:val="ab"/>
    <w:next w:val="ab"/>
    <w:autoRedefine/>
    <w:uiPriority w:val="39"/>
    <w:unhideWhenUsed/>
    <w:rsid w:val="00BC4050"/>
  </w:style>
  <w:style w:type="character" w:customStyle="1" w:styleId="tubiaobiaoti0">
    <w:name w:val="tubiaobiaoti 字符"/>
    <w:basedOn w:val="ac"/>
    <w:link w:val="tubiaobiaoti"/>
    <w:rsid w:val="00BC4050"/>
    <w:rPr>
      <w:rFonts w:ascii="宋体" w:eastAsia="黑体" w:hAnsi="宋体" w:cs="Times New Roman"/>
      <w:sz w:val="24"/>
      <w:szCs w:val="24"/>
    </w:rPr>
  </w:style>
  <w:style w:type="paragraph" w:styleId="TOC2">
    <w:name w:val="toc 2"/>
    <w:basedOn w:val="ab"/>
    <w:next w:val="ab"/>
    <w:autoRedefine/>
    <w:uiPriority w:val="39"/>
    <w:unhideWhenUsed/>
    <w:rsid w:val="00BC4050"/>
    <w:pPr>
      <w:ind w:leftChars="200" w:left="420"/>
    </w:pPr>
  </w:style>
  <w:style w:type="paragraph" w:styleId="TOC3">
    <w:name w:val="toc 3"/>
    <w:basedOn w:val="ab"/>
    <w:next w:val="ab"/>
    <w:autoRedefine/>
    <w:uiPriority w:val="39"/>
    <w:unhideWhenUsed/>
    <w:rsid w:val="00BC4050"/>
    <w:pPr>
      <w:ind w:leftChars="400" w:left="840"/>
    </w:pPr>
  </w:style>
  <w:style w:type="character" w:styleId="af4">
    <w:name w:val="Hyperlink"/>
    <w:basedOn w:val="ac"/>
    <w:uiPriority w:val="99"/>
    <w:unhideWhenUsed/>
    <w:rsid w:val="00BC4050"/>
    <w:rPr>
      <w:color w:val="0000FF" w:themeColor="hyperlink"/>
      <w:u w:val="single"/>
    </w:rPr>
  </w:style>
  <w:style w:type="paragraph" w:customStyle="1" w:styleId="af5">
    <w:name w:val="标准文件_段"/>
    <w:link w:val="Char"/>
    <w:qFormat/>
    <w:rsid w:val="00C167D0"/>
    <w:pPr>
      <w:autoSpaceDE w:val="0"/>
      <w:autoSpaceDN w:val="0"/>
      <w:ind w:firstLineChars="200" w:firstLine="200"/>
      <w:jc w:val="both"/>
    </w:pPr>
    <w:rPr>
      <w:rFonts w:ascii="宋体" w:eastAsia="宋体" w:hAnsi="Times New Roman" w:cs="Times New Roman"/>
      <w:kern w:val="0"/>
      <w:szCs w:val="20"/>
    </w:rPr>
  </w:style>
  <w:style w:type="paragraph" w:customStyle="1" w:styleId="a7">
    <w:name w:val="标准文件_二级条标题"/>
    <w:next w:val="af5"/>
    <w:qFormat/>
    <w:rsid w:val="00C167D0"/>
    <w:pPr>
      <w:widowControl w:val="0"/>
      <w:numPr>
        <w:ilvl w:val="3"/>
        <w:numId w:val="1"/>
      </w:numPr>
      <w:spacing w:beforeLines="50" w:before="50" w:afterLines="50" w:after="50"/>
      <w:jc w:val="both"/>
      <w:outlineLvl w:val="2"/>
    </w:pPr>
    <w:rPr>
      <w:rFonts w:ascii="黑体" w:eastAsia="黑体" w:hAnsi="Times New Roman" w:cs="Times New Roman"/>
      <w:kern w:val="0"/>
      <w:szCs w:val="20"/>
    </w:rPr>
  </w:style>
  <w:style w:type="paragraph" w:customStyle="1" w:styleId="a8">
    <w:name w:val="标准文件_三级条标题"/>
    <w:basedOn w:val="a7"/>
    <w:next w:val="af5"/>
    <w:qFormat/>
    <w:rsid w:val="00C167D0"/>
    <w:pPr>
      <w:widowControl/>
      <w:numPr>
        <w:ilvl w:val="4"/>
      </w:numPr>
      <w:outlineLvl w:val="3"/>
    </w:pPr>
  </w:style>
  <w:style w:type="paragraph" w:customStyle="1" w:styleId="a9">
    <w:name w:val="标准文件_四级条标题"/>
    <w:next w:val="af5"/>
    <w:qFormat/>
    <w:rsid w:val="00C167D0"/>
    <w:pPr>
      <w:widowControl w:val="0"/>
      <w:numPr>
        <w:ilvl w:val="5"/>
        <w:numId w:val="1"/>
      </w:numPr>
      <w:spacing w:beforeLines="50" w:before="50" w:afterLines="50" w:after="50"/>
      <w:jc w:val="both"/>
      <w:outlineLvl w:val="4"/>
    </w:pPr>
    <w:rPr>
      <w:rFonts w:ascii="黑体" w:eastAsia="黑体" w:hAnsi="Times New Roman" w:cs="Times New Roman"/>
      <w:kern w:val="0"/>
      <w:szCs w:val="20"/>
    </w:rPr>
  </w:style>
  <w:style w:type="paragraph" w:customStyle="1" w:styleId="aa">
    <w:name w:val="标准文件_五级条标题"/>
    <w:next w:val="af5"/>
    <w:qFormat/>
    <w:rsid w:val="00C167D0"/>
    <w:pPr>
      <w:widowControl w:val="0"/>
      <w:numPr>
        <w:ilvl w:val="6"/>
        <w:numId w:val="1"/>
      </w:numPr>
      <w:spacing w:beforeLines="50" w:before="50" w:afterLines="50" w:after="50"/>
      <w:jc w:val="both"/>
      <w:outlineLvl w:val="5"/>
    </w:pPr>
    <w:rPr>
      <w:rFonts w:ascii="黑体" w:eastAsia="黑体" w:hAnsi="Times New Roman" w:cs="Times New Roman"/>
      <w:kern w:val="0"/>
      <w:szCs w:val="20"/>
    </w:rPr>
  </w:style>
  <w:style w:type="paragraph" w:customStyle="1" w:styleId="a5">
    <w:name w:val="标准文件_章标题"/>
    <w:next w:val="af5"/>
    <w:qFormat/>
    <w:rsid w:val="00C167D0"/>
    <w:pPr>
      <w:numPr>
        <w:ilvl w:val="1"/>
        <w:numId w:val="1"/>
      </w:numPr>
      <w:spacing w:beforeLines="100" w:before="100" w:afterLines="100" w:after="100"/>
      <w:jc w:val="both"/>
      <w:outlineLvl w:val="0"/>
    </w:pPr>
    <w:rPr>
      <w:rFonts w:ascii="黑体" w:eastAsia="黑体" w:hAnsi="Times New Roman" w:cs="Times New Roman"/>
      <w:kern w:val="0"/>
      <w:szCs w:val="20"/>
    </w:rPr>
  </w:style>
  <w:style w:type="paragraph" w:customStyle="1" w:styleId="a6">
    <w:name w:val="标准文件_一级条标题"/>
    <w:basedOn w:val="a5"/>
    <w:next w:val="af5"/>
    <w:qFormat/>
    <w:rsid w:val="00C167D0"/>
    <w:pPr>
      <w:numPr>
        <w:ilvl w:val="2"/>
      </w:numPr>
      <w:spacing w:beforeLines="50" w:before="50" w:afterLines="50" w:after="50"/>
      <w:outlineLvl w:val="1"/>
    </w:pPr>
  </w:style>
  <w:style w:type="paragraph" w:customStyle="1" w:styleId="a0">
    <w:name w:val="标准文件_数字编号列项（二级）"/>
    <w:qFormat/>
    <w:rsid w:val="00C167D0"/>
    <w:pPr>
      <w:numPr>
        <w:ilvl w:val="1"/>
        <w:numId w:val="2"/>
      </w:numPr>
      <w:jc w:val="both"/>
    </w:pPr>
    <w:rPr>
      <w:rFonts w:ascii="宋体" w:eastAsia="宋体" w:hAnsi="Times New Roman" w:cs="Times New Roman"/>
      <w:kern w:val="0"/>
      <w:szCs w:val="20"/>
    </w:rPr>
  </w:style>
  <w:style w:type="paragraph" w:customStyle="1" w:styleId="a3">
    <w:name w:val="标准文件_正文表标题"/>
    <w:next w:val="af5"/>
    <w:qFormat/>
    <w:rsid w:val="00C167D0"/>
    <w:pPr>
      <w:numPr>
        <w:numId w:val="3"/>
      </w:numPr>
      <w:tabs>
        <w:tab w:val="left" w:pos="0"/>
      </w:tabs>
      <w:spacing w:beforeLines="50" w:before="50" w:afterLines="50" w:after="50"/>
      <w:jc w:val="center"/>
    </w:pPr>
    <w:rPr>
      <w:rFonts w:ascii="黑体" w:eastAsia="黑体" w:hAnsi="Times New Roman" w:cs="Times New Roman"/>
      <w:kern w:val="0"/>
      <w:szCs w:val="20"/>
    </w:rPr>
  </w:style>
  <w:style w:type="paragraph" w:customStyle="1" w:styleId="a2">
    <w:name w:val="标准文件_正文图标题"/>
    <w:next w:val="af5"/>
    <w:qFormat/>
    <w:rsid w:val="00C167D0"/>
    <w:pPr>
      <w:numPr>
        <w:numId w:val="4"/>
      </w:numPr>
      <w:spacing w:beforeLines="50" w:before="50" w:afterLines="50" w:after="50"/>
      <w:jc w:val="center"/>
    </w:pPr>
    <w:rPr>
      <w:rFonts w:ascii="黑体" w:eastAsia="黑体" w:hAnsi="Times New Roman" w:cs="Times New Roman"/>
      <w:kern w:val="0"/>
      <w:szCs w:val="20"/>
    </w:rPr>
  </w:style>
  <w:style w:type="paragraph" w:customStyle="1" w:styleId="a1">
    <w:name w:val="标准文件_编号列项（三级）"/>
    <w:qFormat/>
    <w:rsid w:val="00C167D0"/>
    <w:pPr>
      <w:numPr>
        <w:ilvl w:val="2"/>
        <w:numId w:val="2"/>
      </w:numPr>
    </w:pPr>
    <w:rPr>
      <w:rFonts w:ascii="宋体" w:eastAsia="宋体" w:hAnsi="Times New Roman" w:cs="Times New Roman"/>
      <w:kern w:val="0"/>
      <w:szCs w:val="20"/>
    </w:rPr>
  </w:style>
  <w:style w:type="paragraph" w:customStyle="1" w:styleId="a4">
    <w:name w:val="前言标题"/>
    <w:next w:val="ab"/>
    <w:qFormat/>
    <w:rsid w:val="00C167D0"/>
    <w:pPr>
      <w:numPr>
        <w:numId w:val="1"/>
      </w:numPr>
      <w:shd w:val="clear" w:color="FFFFFF" w:fill="FFFFFF"/>
      <w:spacing w:before="540" w:after="600"/>
      <w:jc w:val="center"/>
      <w:outlineLvl w:val="0"/>
    </w:pPr>
    <w:rPr>
      <w:rFonts w:ascii="黑体" w:eastAsia="黑体" w:hAnsi="Times New Roman" w:cs="Times New Roman"/>
      <w:kern w:val="0"/>
      <w:sz w:val="32"/>
      <w:szCs w:val="20"/>
    </w:rPr>
  </w:style>
  <w:style w:type="paragraph" w:customStyle="1" w:styleId="a">
    <w:name w:val="标准文件_字母编号列项（一级）"/>
    <w:qFormat/>
    <w:rsid w:val="00C167D0"/>
    <w:pPr>
      <w:numPr>
        <w:numId w:val="2"/>
      </w:numPr>
      <w:jc w:val="both"/>
    </w:pPr>
    <w:rPr>
      <w:rFonts w:ascii="宋体" w:eastAsia="宋体" w:hAnsi="Times New Roman" w:cs="Times New Roman"/>
      <w:kern w:val="0"/>
      <w:szCs w:val="20"/>
    </w:rPr>
  </w:style>
  <w:style w:type="paragraph" w:customStyle="1" w:styleId="af6">
    <w:name w:val="标准文件_表格"/>
    <w:basedOn w:val="af5"/>
    <w:qFormat/>
    <w:rsid w:val="00C167D0"/>
    <w:pPr>
      <w:ind w:firstLineChars="0" w:firstLine="0"/>
      <w:jc w:val="center"/>
    </w:pPr>
    <w:rPr>
      <w:sz w:val="18"/>
    </w:rPr>
  </w:style>
  <w:style w:type="character" w:customStyle="1" w:styleId="Char">
    <w:name w:val="标准文件_段 Char"/>
    <w:link w:val="af5"/>
    <w:qFormat/>
    <w:rsid w:val="00C167D0"/>
    <w:rPr>
      <w:rFonts w:ascii="宋体" w:eastAsia="宋体" w:hAnsi="Times New Roman" w:cs="Times New Roman"/>
      <w:kern w:val="0"/>
      <w:szCs w:val="20"/>
    </w:rPr>
  </w:style>
  <w:style w:type="paragraph" w:customStyle="1" w:styleId="af7">
    <w:name w:val="标准文件_术语条一"/>
    <w:basedOn w:val="ab"/>
    <w:next w:val="af5"/>
    <w:qFormat/>
    <w:rsid w:val="00C167D0"/>
    <w:pPr>
      <w:widowControl/>
      <w:ind w:left="1701" w:hanging="425"/>
    </w:pPr>
    <w:rPr>
      <w:rFonts w:ascii="宋体"/>
      <w:kern w:val="0"/>
      <w:szCs w:val="20"/>
    </w:rPr>
  </w:style>
  <w:style w:type="character" w:styleId="af8">
    <w:name w:val="annotation reference"/>
    <w:basedOn w:val="ac"/>
    <w:uiPriority w:val="99"/>
    <w:semiHidden/>
    <w:unhideWhenUsed/>
    <w:rsid w:val="00C167D0"/>
    <w:rPr>
      <w:sz w:val="21"/>
      <w:szCs w:val="21"/>
    </w:rPr>
  </w:style>
  <w:style w:type="paragraph" w:styleId="af9">
    <w:name w:val="annotation text"/>
    <w:basedOn w:val="ab"/>
    <w:link w:val="afa"/>
    <w:uiPriority w:val="99"/>
    <w:semiHidden/>
    <w:unhideWhenUsed/>
    <w:rsid w:val="00C167D0"/>
    <w:pPr>
      <w:adjustRightInd w:val="0"/>
      <w:spacing w:line="400" w:lineRule="exact"/>
      <w:jc w:val="left"/>
    </w:pPr>
    <w:rPr>
      <w:rFonts w:ascii="Calibri" w:hAnsi="Calibri"/>
      <w:szCs w:val="21"/>
    </w:rPr>
  </w:style>
  <w:style w:type="character" w:customStyle="1" w:styleId="afa">
    <w:name w:val="批注文字 字符"/>
    <w:basedOn w:val="ac"/>
    <w:link w:val="af9"/>
    <w:uiPriority w:val="99"/>
    <w:semiHidden/>
    <w:rsid w:val="00C167D0"/>
    <w:rPr>
      <w:rFonts w:ascii="Calibri" w:eastAsia="宋体" w:hAnsi="Calibri" w:cs="Times New Roman"/>
      <w:szCs w:val="21"/>
    </w:rPr>
  </w:style>
  <w:style w:type="paragraph" w:styleId="afb">
    <w:name w:val="Balloon Text"/>
    <w:basedOn w:val="ab"/>
    <w:link w:val="afc"/>
    <w:uiPriority w:val="99"/>
    <w:semiHidden/>
    <w:unhideWhenUsed/>
    <w:rsid w:val="00C167D0"/>
    <w:rPr>
      <w:sz w:val="18"/>
      <w:szCs w:val="18"/>
    </w:rPr>
  </w:style>
  <w:style w:type="character" w:customStyle="1" w:styleId="afc">
    <w:name w:val="批注框文本 字符"/>
    <w:basedOn w:val="ac"/>
    <w:link w:val="afb"/>
    <w:uiPriority w:val="99"/>
    <w:semiHidden/>
    <w:rsid w:val="00C167D0"/>
    <w:rPr>
      <w:rFonts w:ascii="Times New Roman" w:eastAsia="宋体" w:hAnsi="Times New Roman" w:cs="Times New Roman"/>
      <w:sz w:val="18"/>
      <w:szCs w:val="18"/>
    </w:rPr>
  </w:style>
  <w:style w:type="character" w:styleId="afd">
    <w:name w:val="FollowedHyperlink"/>
    <w:basedOn w:val="ac"/>
    <w:uiPriority w:val="99"/>
    <w:semiHidden/>
    <w:unhideWhenUsed/>
    <w:rsid w:val="009007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A2904-D0E9-43E6-94D6-7AFAC8636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4975</Words>
  <Characters>5076</Characters>
  <Application>Microsoft Office Word</Application>
  <DocSecurity>0</DocSecurity>
  <Lines>211</Lines>
  <Paragraphs>115</Paragraphs>
  <ScaleCrop>false</ScaleCrop>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dc:creator>
  <cp:lastModifiedBy>crta200119@outlook.com</cp:lastModifiedBy>
  <cp:revision>3</cp:revision>
  <dcterms:created xsi:type="dcterms:W3CDTF">2025-08-08T02:20:00Z</dcterms:created>
  <dcterms:modified xsi:type="dcterms:W3CDTF">2025-08-08T02:21:00Z</dcterms:modified>
</cp:coreProperties>
</file>